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31755" w14:textId="77777777" w:rsidR="00F835C0" w:rsidRPr="0092413A" w:rsidRDefault="00000000">
      <w:pPr>
        <w:jc w:val="center"/>
        <w:rPr>
          <w:rFonts w:ascii="Calibri" w:hAnsi="Calibri" w:cs="Calibri"/>
          <w:b/>
          <w:color w:val="1F4E79"/>
          <w:sz w:val="24"/>
          <w:szCs w:val="24"/>
        </w:rPr>
      </w:pPr>
      <w:r w:rsidRPr="0092413A">
        <w:rPr>
          <w:rFonts w:ascii="Calibri" w:hAnsi="Calibri" w:cs="Calibri"/>
          <w:b/>
          <w:color w:val="1F4E79"/>
          <w:sz w:val="24"/>
          <w:szCs w:val="24"/>
        </w:rPr>
        <w:br/>
      </w:r>
    </w:p>
    <w:p w14:paraId="3DF21AB3" w14:textId="39E46568" w:rsidR="00B73D9E" w:rsidRPr="0092413A" w:rsidRDefault="00000000">
      <w:pPr>
        <w:jc w:val="center"/>
        <w:rPr>
          <w:rFonts w:ascii="Calibri" w:hAnsi="Calibri" w:cs="Calibri"/>
          <w:sz w:val="24"/>
          <w:szCs w:val="24"/>
        </w:rPr>
      </w:pPr>
      <w:r w:rsidRPr="0092413A">
        <w:rPr>
          <w:rFonts w:ascii="Calibri" w:hAnsi="Calibri" w:cs="Calibri"/>
          <w:b/>
          <w:color w:val="1F4E79"/>
          <w:sz w:val="24"/>
          <w:szCs w:val="24"/>
        </w:rPr>
        <w:br/>
        <w:t>REQUEST FOR PROPOSAL (RFP)</w:t>
      </w:r>
      <w:r w:rsidRPr="0092413A">
        <w:rPr>
          <w:rFonts w:ascii="Calibri" w:hAnsi="Calibri" w:cs="Calibri"/>
          <w:b/>
          <w:color w:val="1F4E79"/>
          <w:sz w:val="24"/>
          <w:szCs w:val="24"/>
        </w:rPr>
        <w:br/>
        <w:t>Website Redesign and Development</w:t>
      </w:r>
      <w:r w:rsidRPr="0092413A">
        <w:rPr>
          <w:rFonts w:ascii="Calibri" w:hAnsi="Calibri" w:cs="Calibri"/>
          <w:b/>
          <w:color w:val="1F4E79"/>
          <w:sz w:val="24"/>
          <w:szCs w:val="24"/>
        </w:rPr>
        <w:br/>
      </w:r>
      <w:r w:rsidRPr="0092413A">
        <w:rPr>
          <w:rFonts w:ascii="Calibri" w:hAnsi="Calibri" w:cs="Calibri"/>
          <w:b/>
          <w:sz w:val="24"/>
          <w:szCs w:val="24"/>
        </w:rPr>
        <w:t>for The Hans Foundation</w:t>
      </w:r>
      <w:r w:rsidRPr="0092413A">
        <w:rPr>
          <w:rFonts w:ascii="Calibri" w:hAnsi="Calibri" w:cs="Calibri"/>
          <w:b/>
          <w:sz w:val="24"/>
          <w:szCs w:val="24"/>
        </w:rPr>
        <w:br/>
      </w:r>
      <w:r w:rsidRPr="0092413A">
        <w:rPr>
          <w:rFonts w:ascii="Calibri" w:hAnsi="Calibri" w:cs="Calibri"/>
          <w:b/>
          <w:sz w:val="24"/>
          <w:szCs w:val="24"/>
        </w:rPr>
        <w:br/>
      </w:r>
      <w:r w:rsidRPr="0092413A">
        <w:rPr>
          <w:rFonts w:ascii="Calibri" w:hAnsi="Calibri" w:cs="Calibri"/>
          <w:i/>
          <w:sz w:val="24"/>
          <w:szCs w:val="24"/>
        </w:rPr>
        <w:t>June 2026</w:t>
      </w:r>
    </w:p>
    <w:p w14:paraId="0BF71D12" w14:textId="77777777" w:rsidR="00B73D9E" w:rsidRPr="0092413A" w:rsidRDefault="00B73D9E">
      <w:pPr>
        <w:rPr>
          <w:rFonts w:ascii="Calibri" w:hAnsi="Calibri" w:cs="Calibri"/>
          <w:sz w:val="24"/>
          <w:szCs w:val="24"/>
        </w:rPr>
      </w:pPr>
    </w:p>
    <w:tbl>
      <w:tblPr>
        <w:tblStyle w:val="TableGrid"/>
        <w:tblW w:w="0" w:type="auto"/>
        <w:jc w:val="center"/>
        <w:tblLook w:val="04A0" w:firstRow="1" w:lastRow="0" w:firstColumn="1" w:lastColumn="0" w:noHBand="0" w:noVBand="1"/>
      </w:tblPr>
      <w:tblGrid>
        <w:gridCol w:w="3456"/>
        <w:gridCol w:w="6048"/>
      </w:tblGrid>
      <w:tr w:rsidR="00B73D9E" w:rsidRPr="0092413A" w14:paraId="2BF0C112" w14:textId="77777777">
        <w:trPr>
          <w:jc w:val="center"/>
        </w:trPr>
        <w:tc>
          <w:tcPr>
            <w:tcW w:w="3456" w:type="dxa"/>
            <w:shd w:val="clear" w:color="auto" w:fill="1F4E79"/>
            <w:vAlign w:val="center"/>
          </w:tcPr>
          <w:p w14:paraId="2222FF6D"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Particular</w:t>
            </w:r>
          </w:p>
        </w:tc>
        <w:tc>
          <w:tcPr>
            <w:tcW w:w="6048" w:type="dxa"/>
            <w:shd w:val="clear" w:color="auto" w:fill="1F4E79"/>
            <w:vAlign w:val="center"/>
          </w:tcPr>
          <w:p w14:paraId="33ADC1CE"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Details</w:t>
            </w:r>
          </w:p>
        </w:tc>
      </w:tr>
      <w:tr w:rsidR="00B73D9E" w:rsidRPr="0092413A" w14:paraId="076D6839" w14:textId="77777777">
        <w:trPr>
          <w:jc w:val="center"/>
        </w:trPr>
        <w:tc>
          <w:tcPr>
            <w:tcW w:w="3456" w:type="dxa"/>
            <w:vAlign w:val="center"/>
          </w:tcPr>
          <w:p w14:paraId="4E2BA315"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RFP Issuing Organization</w:t>
            </w:r>
          </w:p>
        </w:tc>
        <w:tc>
          <w:tcPr>
            <w:tcW w:w="6048" w:type="dxa"/>
            <w:vAlign w:val="center"/>
          </w:tcPr>
          <w:p w14:paraId="7B1C4AC5"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The Hans Foundation</w:t>
            </w:r>
          </w:p>
        </w:tc>
      </w:tr>
      <w:tr w:rsidR="00B73D9E" w:rsidRPr="0092413A" w14:paraId="39D1758E" w14:textId="77777777">
        <w:trPr>
          <w:jc w:val="center"/>
        </w:trPr>
        <w:tc>
          <w:tcPr>
            <w:tcW w:w="3456" w:type="dxa"/>
            <w:vAlign w:val="center"/>
          </w:tcPr>
          <w:p w14:paraId="0B44018A"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RFP Title</w:t>
            </w:r>
          </w:p>
        </w:tc>
        <w:tc>
          <w:tcPr>
            <w:tcW w:w="6048" w:type="dxa"/>
            <w:vAlign w:val="center"/>
          </w:tcPr>
          <w:p w14:paraId="4AFBD2C4"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Website Redesign and Development</w:t>
            </w:r>
          </w:p>
        </w:tc>
      </w:tr>
      <w:tr w:rsidR="00B73D9E" w:rsidRPr="0092413A" w14:paraId="5A0DFE51" w14:textId="77777777">
        <w:trPr>
          <w:jc w:val="center"/>
        </w:trPr>
        <w:tc>
          <w:tcPr>
            <w:tcW w:w="3456" w:type="dxa"/>
            <w:vAlign w:val="center"/>
          </w:tcPr>
          <w:p w14:paraId="3397A5F3"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RFP Issue Date</w:t>
            </w:r>
          </w:p>
        </w:tc>
        <w:tc>
          <w:tcPr>
            <w:tcW w:w="6048" w:type="dxa"/>
            <w:vAlign w:val="center"/>
          </w:tcPr>
          <w:p w14:paraId="5BC61B31" w14:textId="740DD6E4" w:rsidR="00B73D9E" w:rsidRPr="0092413A" w:rsidRDefault="00B7186F">
            <w:pPr>
              <w:spacing w:after="0"/>
              <w:rPr>
                <w:rFonts w:ascii="Calibri" w:hAnsi="Calibri" w:cs="Calibri"/>
                <w:sz w:val="24"/>
                <w:szCs w:val="24"/>
              </w:rPr>
            </w:pPr>
            <w:r w:rsidRPr="0092413A">
              <w:rPr>
                <w:rFonts w:ascii="Calibri" w:hAnsi="Calibri" w:cs="Calibri"/>
                <w:sz w:val="24"/>
                <w:szCs w:val="24"/>
              </w:rPr>
              <w:t>2</w:t>
            </w:r>
            <w:r w:rsidR="003F3D85">
              <w:rPr>
                <w:rFonts w:ascii="Calibri" w:hAnsi="Calibri" w:cs="Calibri"/>
                <w:sz w:val="24"/>
                <w:szCs w:val="24"/>
              </w:rPr>
              <w:t>9</w:t>
            </w:r>
            <w:r w:rsidR="00000000" w:rsidRPr="0092413A">
              <w:rPr>
                <w:rFonts w:ascii="Calibri" w:hAnsi="Calibri" w:cs="Calibri"/>
                <w:sz w:val="24"/>
                <w:szCs w:val="24"/>
              </w:rPr>
              <w:t>-06-2026</w:t>
            </w:r>
          </w:p>
        </w:tc>
      </w:tr>
      <w:tr w:rsidR="00B73D9E" w:rsidRPr="0092413A" w14:paraId="59E1A884" w14:textId="77777777">
        <w:trPr>
          <w:jc w:val="center"/>
        </w:trPr>
        <w:tc>
          <w:tcPr>
            <w:tcW w:w="3456" w:type="dxa"/>
            <w:vAlign w:val="center"/>
          </w:tcPr>
          <w:p w14:paraId="65E24942"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Proposal Submission Deadline</w:t>
            </w:r>
          </w:p>
        </w:tc>
        <w:tc>
          <w:tcPr>
            <w:tcW w:w="6048" w:type="dxa"/>
            <w:vAlign w:val="center"/>
          </w:tcPr>
          <w:p w14:paraId="41B28548" w14:textId="1FB68BA9" w:rsidR="00B73D9E" w:rsidRPr="0092413A" w:rsidRDefault="003F3D85">
            <w:pPr>
              <w:spacing w:after="0"/>
              <w:rPr>
                <w:rFonts w:ascii="Calibri" w:hAnsi="Calibri" w:cs="Calibri"/>
                <w:sz w:val="24"/>
                <w:szCs w:val="24"/>
              </w:rPr>
            </w:pPr>
            <w:r>
              <w:rPr>
                <w:rFonts w:ascii="Calibri" w:hAnsi="Calibri" w:cs="Calibri"/>
                <w:sz w:val="24"/>
                <w:szCs w:val="24"/>
              </w:rPr>
              <w:t>10</w:t>
            </w:r>
            <w:r w:rsidR="00000000" w:rsidRPr="0092413A">
              <w:rPr>
                <w:rFonts w:ascii="Calibri" w:hAnsi="Calibri" w:cs="Calibri"/>
                <w:sz w:val="24"/>
                <w:szCs w:val="24"/>
              </w:rPr>
              <w:t>-0</w:t>
            </w:r>
            <w:r w:rsidR="00B7186F" w:rsidRPr="0092413A">
              <w:rPr>
                <w:rFonts w:ascii="Calibri" w:hAnsi="Calibri" w:cs="Calibri"/>
                <w:sz w:val="24"/>
                <w:szCs w:val="24"/>
              </w:rPr>
              <w:t>7</w:t>
            </w:r>
            <w:r w:rsidR="00000000" w:rsidRPr="0092413A">
              <w:rPr>
                <w:rFonts w:ascii="Calibri" w:hAnsi="Calibri" w:cs="Calibri"/>
                <w:sz w:val="24"/>
                <w:szCs w:val="24"/>
              </w:rPr>
              <w:t>-2026</w:t>
            </w:r>
            <w:r w:rsidR="0092413A" w:rsidRPr="0092413A">
              <w:rPr>
                <w:rFonts w:ascii="Calibri" w:hAnsi="Calibri" w:cs="Calibri"/>
                <w:sz w:val="24"/>
                <w:szCs w:val="24"/>
              </w:rPr>
              <w:t xml:space="preserve"> (For technical proposal)</w:t>
            </w:r>
          </w:p>
          <w:p w14:paraId="35214F08" w14:textId="289C8AEB" w:rsidR="0092413A" w:rsidRPr="0092413A" w:rsidRDefault="0092413A">
            <w:pPr>
              <w:spacing w:after="0"/>
              <w:rPr>
                <w:rFonts w:ascii="Calibri" w:hAnsi="Calibri" w:cs="Calibri"/>
                <w:sz w:val="24"/>
                <w:szCs w:val="24"/>
              </w:rPr>
            </w:pPr>
            <w:r w:rsidRPr="0092413A">
              <w:rPr>
                <w:rFonts w:ascii="Calibri" w:hAnsi="Calibri" w:cs="Calibri"/>
                <w:sz w:val="24"/>
                <w:szCs w:val="24"/>
              </w:rPr>
              <w:t>12-07-2026 (For financial proposal)</w:t>
            </w:r>
          </w:p>
        </w:tc>
      </w:tr>
      <w:tr w:rsidR="00B73D9E" w:rsidRPr="0092413A" w14:paraId="75671378" w14:textId="77777777">
        <w:trPr>
          <w:jc w:val="center"/>
        </w:trPr>
        <w:tc>
          <w:tcPr>
            <w:tcW w:w="3456" w:type="dxa"/>
            <w:vAlign w:val="center"/>
          </w:tcPr>
          <w:p w14:paraId="410ABC26"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Proposal Opening Date</w:t>
            </w:r>
          </w:p>
        </w:tc>
        <w:tc>
          <w:tcPr>
            <w:tcW w:w="6048" w:type="dxa"/>
            <w:vAlign w:val="center"/>
          </w:tcPr>
          <w:p w14:paraId="53E0E2BB" w14:textId="089C3323" w:rsidR="00B73D9E" w:rsidRPr="0092413A" w:rsidRDefault="0092413A">
            <w:pPr>
              <w:spacing w:after="0"/>
              <w:rPr>
                <w:rFonts w:ascii="Calibri" w:hAnsi="Calibri" w:cs="Calibri"/>
                <w:sz w:val="24"/>
                <w:szCs w:val="24"/>
              </w:rPr>
            </w:pPr>
            <w:r w:rsidRPr="0092413A">
              <w:rPr>
                <w:rFonts w:ascii="Calibri" w:hAnsi="Calibri" w:cs="Calibri"/>
                <w:sz w:val="24"/>
                <w:szCs w:val="24"/>
              </w:rPr>
              <w:t>1</w:t>
            </w:r>
            <w:r w:rsidR="00B7186F" w:rsidRPr="0092413A">
              <w:rPr>
                <w:rFonts w:ascii="Calibri" w:hAnsi="Calibri" w:cs="Calibri"/>
                <w:sz w:val="24"/>
                <w:szCs w:val="24"/>
              </w:rPr>
              <w:t>5</w:t>
            </w:r>
            <w:r w:rsidR="008A09AF" w:rsidRPr="0092413A">
              <w:rPr>
                <w:rFonts w:ascii="Calibri" w:hAnsi="Calibri" w:cs="Calibri"/>
                <w:sz w:val="24"/>
                <w:szCs w:val="24"/>
              </w:rPr>
              <w:t>-0</w:t>
            </w:r>
            <w:r w:rsidR="00B7186F" w:rsidRPr="0092413A">
              <w:rPr>
                <w:rFonts w:ascii="Calibri" w:hAnsi="Calibri" w:cs="Calibri"/>
                <w:sz w:val="24"/>
                <w:szCs w:val="24"/>
              </w:rPr>
              <w:t>7</w:t>
            </w:r>
            <w:r w:rsidR="008A09AF" w:rsidRPr="0092413A">
              <w:rPr>
                <w:rFonts w:ascii="Calibri" w:hAnsi="Calibri" w:cs="Calibri"/>
                <w:sz w:val="24"/>
                <w:szCs w:val="24"/>
              </w:rPr>
              <w:t>-2026</w:t>
            </w:r>
          </w:p>
        </w:tc>
      </w:tr>
      <w:tr w:rsidR="00B73D9E" w:rsidRPr="0092413A" w14:paraId="25C721E4" w14:textId="77777777">
        <w:trPr>
          <w:jc w:val="center"/>
        </w:trPr>
        <w:tc>
          <w:tcPr>
            <w:tcW w:w="3456" w:type="dxa"/>
            <w:vAlign w:val="center"/>
          </w:tcPr>
          <w:p w14:paraId="0E62E63F"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Submission Email</w:t>
            </w:r>
          </w:p>
        </w:tc>
        <w:tc>
          <w:tcPr>
            <w:tcW w:w="6048" w:type="dxa"/>
            <w:vAlign w:val="center"/>
          </w:tcPr>
          <w:p w14:paraId="0327B7E9"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e-bid@thfmail.com</w:t>
            </w:r>
          </w:p>
        </w:tc>
      </w:tr>
    </w:tbl>
    <w:p w14:paraId="636BDCCE" w14:textId="77777777" w:rsidR="00B73D9E" w:rsidRPr="0092413A" w:rsidRDefault="00B73D9E">
      <w:pPr>
        <w:rPr>
          <w:rFonts w:ascii="Calibri" w:hAnsi="Calibri" w:cs="Calibri"/>
          <w:sz w:val="24"/>
          <w:szCs w:val="24"/>
        </w:rPr>
      </w:pPr>
    </w:p>
    <w:p w14:paraId="3C02A56D" w14:textId="58ABDA0C" w:rsidR="00B73D9E" w:rsidRPr="0092413A" w:rsidRDefault="00000000">
      <w:pPr>
        <w:rPr>
          <w:rFonts w:ascii="Calibri" w:hAnsi="Calibri" w:cs="Calibri"/>
          <w:sz w:val="24"/>
          <w:szCs w:val="24"/>
        </w:rPr>
      </w:pPr>
      <w:r w:rsidRPr="0092413A">
        <w:rPr>
          <w:rFonts w:ascii="Calibri" w:hAnsi="Calibri" w:cs="Calibri"/>
          <w:sz w:val="24"/>
          <w:szCs w:val="24"/>
        </w:rPr>
        <w:br w:type="page"/>
      </w:r>
      <w:r w:rsidR="00B7186F" w:rsidRPr="0092413A">
        <w:rPr>
          <w:rFonts w:ascii="Calibri" w:hAnsi="Calibri" w:cs="Calibri"/>
          <w:sz w:val="24"/>
          <w:szCs w:val="24"/>
        </w:rPr>
        <w:lastRenderedPageBreak/>
        <w:t>x</w:t>
      </w:r>
    </w:p>
    <w:p w14:paraId="4C91113A"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1. Introduction</w:t>
      </w:r>
    </w:p>
    <w:p w14:paraId="744EB49C"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1.1 Company Background</w:t>
      </w:r>
    </w:p>
    <w:p w14:paraId="0A73BD03" w14:textId="77777777" w:rsidR="00B73D9E" w:rsidRPr="0092413A" w:rsidRDefault="00000000">
      <w:pPr>
        <w:rPr>
          <w:rFonts w:ascii="Calibri" w:hAnsi="Calibri" w:cs="Calibri"/>
          <w:sz w:val="24"/>
          <w:szCs w:val="24"/>
        </w:rPr>
      </w:pPr>
      <w:r w:rsidRPr="0092413A">
        <w:rPr>
          <w:rFonts w:ascii="Calibri" w:hAnsi="Calibri" w:cs="Calibri"/>
          <w:sz w:val="24"/>
          <w:szCs w:val="24"/>
        </w:rPr>
        <w:t>The Hans Foundation (THF), established in 2009, is a Public Charitable Trust working towards creating an equitable society by enhancing the quality of life of marginalized and underprivileged communities in India. THF works across Health, Education, Livelihood, Disability Inclusion, Climate Action, and Disaster Relief, with a focus on rural, remote, and underserved communities.</w:t>
      </w:r>
    </w:p>
    <w:p w14:paraId="1526C4A1"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1.2 Project Overview</w:t>
      </w:r>
    </w:p>
    <w:p w14:paraId="0B52123C" w14:textId="77777777" w:rsidR="00B73D9E" w:rsidRPr="0092413A" w:rsidRDefault="00000000">
      <w:pPr>
        <w:rPr>
          <w:rFonts w:ascii="Calibri" w:hAnsi="Calibri" w:cs="Calibri"/>
          <w:sz w:val="24"/>
          <w:szCs w:val="24"/>
        </w:rPr>
      </w:pPr>
      <w:r w:rsidRPr="0092413A">
        <w:rPr>
          <w:rFonts w:ascii="Calibri" w:hAnsi="Calibri" w:cs="Calibri"/>
          <w:sz w:val="24"/>
          <w:szCs w:val="24"/>
        </w:rPr>
        <w:t>The Hans Foundation seeks to engage a professional website development agency to redesign and rebuild its website into a modern, secure, accessible, mobile-first, search-optimized, and easy-to-manage digital platform.</w:t>
      </w:r>
    </w:p>
    <w:p w14:paraId="66922EAF" w14:textId="77777777" w:rsidR="00B73D9E" w:rsidRPr="0092413A" w:rsidRDefault="00000000">
      <w:pPr>
        <w:rPr>
          <w:rFonts w:ascii="Calibri" w:hAnsi="Calibri" w:cs="Calibri"/>
          <w:sz w:val="24"/>
          <w:szCs w:val="24"/>
        </w:rPr>
      </w:pPr>
      <w:r w:rsidRPr="0092413A">
        <w:rPr>
          <w:rFonts w:ascii="Calibri" w:hAnsi="Calibri" w:cs="Calibri"/>
          <w:sz w:val="24"/>
          <w:szCs w:val="24"/>
        </w:rPr>
        <w:t>The updated website must strengthen THF’s brand visibility, program storytelling, donor engagement, partner confidence, content management capacity, and institutional credibility. It must offer a seamless browsing experience across mobile, tablet, and desktop devices, while supporting future integrations with CRM, HRMS, external feeds, donation systems, analytics platforms, and multilingual or regional language content.</w:t>
      </w:r>
    </w:p>
    <w:p w14:paraId="1115D3D5"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1.3 Current Website Challenges and Need for Rebuild</w:t>
      </w:r>
    </w:p>
    <w:p w14:paraId="0D6C4735" w14:textId="77777777" w:rsidR="00B73D9E" w:rsidRPr="0092413A" w:rsidRDefault="00000000">
      <w:pPr>
        <w:rPr>
          <w:rFonts w:ascii="Calibri" w:hAnsi="Calibri" w:cs="Calibri"/>
          <w:sz w:val="24"/>
          <w:szCs w:val="24"/>
        </w:rPr>
      </w:pPr>
      <w:r w:rsidRPr="0092413A">
        <w:rPr>
          <w:rFonts w:ascii="Calibri" w:hAnsi="Calibri" w:cs="Calibri"/>
          <w:sz w:val="24"/>
          <w:szCs w:val="24"/>
        </w:rPr>
        <w:t>The website rebuild is being undertaken due to the following current challenges:</w:t>
      </w:r>
    </w:p>
    <w:p w14:paraId="0DF471E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current website does not provide THF with adequate flexibility and admin control for routine updates, program pages, blogs, impact numbers, media, and statutory documents.</w:t>
      </w:r>
    </w:p>
    <w:p w14:paraId="75C286DA"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current technology stack is outdated and requires a secure, scalable, maintainable rebuild rather than surface-level cosmetic changes.</w:t>
      </w:r>
    </w:p>
    <w:p w14:paraId="42BC548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THF does not have full access to reliable source code, backend documentation, and technical handover material for the current website, which affects long-term maintainability.</w:t>
      </w:r>
    </w:p>
    <w:p w14:paraId="4E03982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existing website has potential security, performance, and update-related vulnerabilities that need to be addressed through a complete rebuild and secure deployment.</w:t>
      </w:r>
    </w:p>
    <w:p w14:paraId="7AF0291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current user journeys for donors, CSR partners, job applicants, beneficiaries, media, and due diligence stakeholders need to be simplified and strengthened.</w:t>
      </w:r>
    </w:p>
    <w:p w14:paraId="6A644D69"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new website must support improved accessibility, SEO, content discoverability, analytics, donation journeys, and future integrations.</w:t>
      </w:r>
    </w:p>
    <w:p w14:paraId="24FAA610"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2. Scope of Work</w:t>
      </w:r>
    </w:p>
    <w:p w14:paraId="3EC18363" w14:textId="77777777" w:rsidR="00B73D9E" w:rsidRPr="0092413A" w:rsidRDefault="00000000">
      <w:pPr>
        <w:rPr>
          <w:rFonts w:ascii="Calibri" w:hAnsi="Calibri" w:cs="Calibri"/>
          <w:sz w:val="24"/>
          <w:szCs w:val="24"/>
        </w:rPr>
      </w:pPr>
      <w:r w:rsidRPr="0092413A">
        <w:rPr>
          <w:rFonts w:ascii="Calibri" w:hAnsi="Calibri" w:cs="Calibri"/>
          <w:sz w:val="24"/>
          <w:szCs w:val="24"/>
        </w:rPr>
        <w:t>The selected agency will be responsible for the end-to-end planning, design, development, content migration, testing, deployment support, hosting coordination, warranty support, and ongoing maintenance of THF’s website.</w:t>
      </w:r>
    </w:p>
    <w:p w14:paraId="20DA430F" w14:textId="77777777" w:rsidR="00B73D9E" w:rsidRPr="0092413A" w:rsidRDefault="00000000">
      <w:pPr>
        <w:rPr>
          <w:rFonts w:ascii="Calibri" w:hAnsi="Calibri" w:cs="Calibri"/>
          <w:sz w:val="24"/>
          <w:szCs w:val="24"/>
        </w:rPr>
      </w:pPr>
      <w:r w:rsidRPr="0092413A">
        <w:rPr>
          <w:rFonts w:ascii="Calibri" w:hAnsi="Calibri" w:cs="Calibri"/>
          <w:sz w:val="24"/>
          <w:szCs w:val="24"/>
        </w:rPr>
        <w:lastRenderedPageBreak/>
        <w:t>The website must be designed to:</w:t>
      </w:r>
    </w:p>
    <w:p w14:paraId="704B64F9"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Attract, inform, and convert individual online donors through improved user journeys, visible donation buttons/widgets, project-level giving opportunities, social media integration, and smooth digital engagement.</w:t>
      </w:r>
    </w:p>
    <w:p w14:paraId="176D8C16"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Attract, inform, and convert corporate donors for CSR partnerships, employee-giving programs, strategic collaborations, and future volunteering opportunities.</w:t>
      </w:r>
    </w:p>
    <w:p w14:paraId="60A3E38F"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Attract, inform, and support potential hires through an improved Careers section, HR announcements, and scope for future HRMS integration.</w:t>
      </w:r>
    </w:p>
    <w:p w14:paraId="0A5DCE4D"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Inform potential beneficiaries and communities about THF programs and provide simple ways to connect with the Foundation.</w:t>
      </w:r>
    </w:p>
    <w:p w14:paraId="4BC02249"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Improve transparency and compliance by making policies, financials, annual reports, statutory documents, and other organizational information easily accessible to government bodies, due diligence teams, corporate partners, donors, and other stakeholders.</w:t>
      </w:r>
    </w:p>
    <w:p w14:paraId="24F01AD8" w14:textId="77777777" w:rsidR="00B73D9E" w:rsidRPr="0092413A" w:rsidRDefault="00000000">
      <w:pPr>
        <w:pStyle w:val="ListNumber"/>
        <w:spacing w:after="60"/>
        <w:rPr>
          <w:rFonts w:ascii="Calibri" w:hAnsi="Calibri" w:cs="Calibri"/>
          <w:sz w:val="24"/>
          <w:szCs w:val="24"/>
        </w:rPr>
      </w:pPr>
      <w:r w:rsidRPr="0092413A">
        <w:rPr>
          <w:rFonts w:ascii="Calibri" w:hAnsi="Calibri" w:cs="Calibri"/>
          <w:sz w:val="24"/>
          <w:szCs w:val="24"/>
        </w:rPr>
        <w:t>Strengthen THF’s digital presence through SEO, Answer Engine Optimization (AEO), Generative Engine Optimization (GEO), analytics, website performance, content discoverability, and improved storytelling.</w:t>
      </w:r>
    </w:p>
    <w:p w14:paraId="2A429F85"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2.1 Content Migration Scope</w:t>
      </w:r>
    </w:p>
    <w:p w14:paraId="58EE7CFE" w14:textId="77777777" w:rsidR="00B73D9E" w:rsidRPr="0092413A" w:rsidRDefault="00000000">
      <w:pPr>
        <w:rPr>
          <w:rFonts w:ascii="Calibri" w:hAnsi="Calibri" w:cs="Calibri"/>
          <w:sz w:val="24"/>
          <w:szCs w:val="24"/>
        </w:rPr>
      </w:pPr>
      <w:r w:rsidRPr="0092413A">
        <w:rPr>
          <w:rFonts w:ascii="Calibri" w:hAnsi="Calibri" w:cs="Calibri"/>
          <w:sz w:val="24"/>
          <w:szCs w:val="24"/>
        </w:rPr>
        <w:t>The agency must include content migration as a defined component of the proposal. The scope must cover the review, clean-up, migration, and quality check of existing website content, including pages, program content, blogs, images, videos or embedded media links, reports, PDFs, downloadable documents, statutory information, and media assets.</w:t>
      </w:r>
    </w:p>
    <w:p w14:paraId="503E07A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agency must conduct a content inventory during the discovery phase and identify content to be retained, rewritten, archived, merged, or removed.</w:t>
      </w:r>
    </w:p>
    <w:p w14:paraId="76B829F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financial proposal must include a separate line item for content migration and clearly state assumptions on number of pages, blogs, documents, images, and media assets included.</w:t>
      </w:r>
    </w:p>
    <w:p w14:paraId="122DFD1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agency must ensure URL mapping, metadata migration, SEO-friendly redirects, broken-link checks, and preservation of important search value wherever existing URLs are changed.</w:t>
      </w:r>
    </w:p>
    <w:p w14:paraId="095201B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Any content writing, rewriting, translation, or transcreation support must be quoted separately, unless explicitly included in the base cost.</w:t>
      </w:r>
    </w:p>
    <w:p w14:paraId="2A17A397"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2.2 CMS Preference and Content Management</w:t>
      </w:r>
    </w:p>
    <w:p w14:paraId="67EBABD9" w14:textId="77777777" w:rsidR="00B73D9E" w:rsidRPr="0092413A" w:rsidRDefault="00000000">
      <w:pPr>
        <w:rPr>
          <w:rFonts w:ascii="Calibri" w:hAnsi="Calibri" w:cs="Calibri"/>
          <w:sz w:val="24"/>
          <w:szCs w:val="24"/>
        </w:rPr>
      </w:pPr>
      <w:r w:rsidRPr="0092413A">
        <w:rPr>
          <w:rFonts w:ascii="Calibri" w:hAnsi="Calibri" w:cs="Calibri"/>
          <w:sz w:val="24"/>
          <w:szCs w:val="24"/>
        </w:rPr>
        <w:t>THF prefers a widely adopted, secure, open-source, and easy-to-manage CMS such as WordPress or Drupal. Agencies may recommend another CMS or headless CMS only if they clearly justify its long-term benefits, risks, cost implications, maintainability, internal training requirements, and vendor lock-in considerations.</w:t>
      </w:r>
    </w:p>
    <w:p w14:paraId="572C956C"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CMS must allow authorized THF users to update pages, blogs, impact numbers, media, resources, job updates, forms, and selected program content without developer dependency.</w:t>
      </w:r>
    </w:p>
    <w:p w14:paraId="646D382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lastRenderedPageBreak/>
        <w:t>The CMS must support role-based access, approval workflows where feasible, audit trails or activity logs, SEO metadata, accessibility fields, media library management, and future multilingual content.</w:t>
      </w:r>
    </w:p>
    <w:p w14:paraId="4D105443"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agency must provide CMS training, a user manual, and technical documentation as part of handover.</w:t>
      </w:r>
    </w:p>
    <w:p w14:paraId="067D603E"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2.3 Hosting Scope</w:t>
      </w:r>
    </w:p>
    <w:p w14:paraId="12E1CC18" w14:textId="77777777" w:rsidR="00B73D9E" w:rsidRPr="0092413A" w:rsidRDefault="00000000">
      <w:pPr>
        <w:rPr>
          <w:rFonts w:ascii="Calibri" w:hAnsi="Calibri" w:cs="Calibri"/>
          <w:sz w:val="24"/>
          <w:szCs w:val="24"/>
        </w:rPr>
      </w:pPr>
      <w:r w:rsidRPr="0092413A">
        <w:rPr>
          <w:rFonts w:ascii="Calibri" w:hAnsi="Calibri" w:cs="Calibri"/>
          <w:sz w:val="24"/>
          <w:szCs w:val="24"/>
        </w:rPr>
        <w:t>The agency must propose a secure and scalable hosting approach. The proposal must clearly state whether hosting will be procured and managed by the agency, procured by THF with agency support, or managed through an existing THF-approved hosting arrangement.</w:t>
      </w:r>
    </w:p>
    <w:p w14:paraId="7B5F7694"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Hosting architecture must include SSL, firewall/security controls, backup systems, disaster recovery process, performance monitoring, and uptime monitoring.</w:t>
      </w:r>
    </w:p>
    <w:p w14:paraId="1854FF0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Data hosting in India is preferred, especially where donor, applicant, beneficiary, or form-submitted personal data is processed, stored, or backed up.</w:t>
      </w:r>
    </w:p>
    <w:p w14:paraId="0FC7B124"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hosting setup must allow reasonable traffic scalability, CDN integration where required, and capacity to handle campaign spikes, donor drives, media visibility, and event-related traffic.</w:t>
      </w:r>
    </w:p>
    <w:p w14:paraId="7AE37B8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All hosting, plugin, license, CDN, security, backup, email, analytics, or third-party tool costs must be disclosed separately in the financial proposal.</w:t>
      </w:r>
    </w:p>
    <w:p w14:paraId="0406045F"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2.4 Multilingual Scope</w:t>
      </w:r>
    </w:p>
    <w:p w14:paraId="75E25167" w14:textId="77777777" w:rsidR="00B73D9E" w:rsidRPr="0092413A" w:rsidRDefault="00000000">
      <w:pPr>
        <w:rPr>
          <w:rFonts w:ascii="Calibri" w:hAnsi="Calibri" w:cs="Calibri"/>
          <w:sz w:val="24"/>
          <w:szCs w:val="24"/>
        </w:rPr>
      </w:pPr>
      <w:r w:rsidRPr="0092413A">
        <w:rPr>
          <w:rFonts w:ascii="Calibri" w:hAnsi="Calibri" w:cs="Calibri"/>
          <w:sz w:val="24"/>
          <w:szCs w:val="24"/>
        </w:rPr>
        <w:t>The website must be built with multilingual readiness from Phase 2. The CMS, templates, navigation, metadata, forms, and content architecture must be capable of supporting Hindi and future regional language pages.</w:t>
      </w:r>
    </w:p>
    <w:p w14:paraId="0659D2A9"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Phase 2 must include multilingual-ready architecture and Hindi support for priority pages finalized during discovery.</w:t>
      </w:r>
    </w:p>
    <w:p w14:paraId="3EF342A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Bulk translation, transcreation, and migration of multilingual content beyond the finalized priority pages may be quoted separately as an optional Phase 3 component.</w:t>
      </w:r>
    </w:p>
    <w:p w14:paraId="1550254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The agency must specify how multilingual SEO, URL structures, language switching, and content governance will be handled.</w:t>
      </w:r>
    </w:p>
    <w:p w14:paraId="3EB217BD"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3. Key Deliverables</w:t>
      </w:r>
    </w:p>
    <w:p w14:paraId="5145816E"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3.1 Discovery, Planning, and Strategy</w:t>
      </w:r>
    </w:p>
    <w:p w14:paraId="728335A5" w14:textId="77777777" w:rsidR="00B73D9E" w:rsidRPr="0092413A" w:rsidRDefault="00000000">
      <w:pPr>
        <w:rPr>
          <w:rFonts w:ascii="Calibri" w:hAnsi="Calibri" w:cs="Calibri"/>
          <w:sz w:val="24"/>
          <w:szCs w:val="24"/>
        </w:rPr>
      </w:pPr>
      <w:r w:rsidRPr="0092413A">
        <w:rPr>
          <w:rFonts w:ascii="Calibri" w:hAnsi="Calibri" w:cs="Calibri"/>
          <w:sz w:val="24"/>
          <w:szCs w:val="24"/>
        </w:rPr>
        <w:t>The agency will undertake a discovery phase to understand THF’s objectives, audience groups, program structure, content needs, brand positioning, technical constraints, and functional requirements. Deliverables will include:</w:t>
      </w:r>
    </w:p>
    <w:p w14:paraId="2EADEF3B"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Review and finalization of website objectives and requirements</w:t>
      </w:r>
    </w:p>
    <w:p w14:paraId="61BF80A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Stakeholder consultations and requirement gathering</w:t>
      </w:r>
    </w:p>
    <w:p w14:paraId="0AB8495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lastRenderedPageBreak/>
        <w:t>Current website audit covering content, UX, technology, SEO, performance, accessibility, and security observations</w:t>
      </w:r>
    </w:p>
    <w:p w14:paraId="5AE13B1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Competitor/benchmarking review of nonprofit, donor-facing, CSR, and institutional websites</w:t>
      </w:r>
    </w:p>
    <w:p w14:paraId="0DA4773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Target audience mapping and user journey development</w:t>
      </w:r>
    </w:p>
    <w:p w14:paraId="797F142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Sitemap creation and content architecture</w:t>
      </w:r>
    </w:p>
    <w:p w14:paraId="1B34464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inventory and migration plan</w:t>
      </w:r>
    </w:p>
    <w:p w14:paraId="3F79CBAB"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Wireframes for key pages</w:t>
      </w:r>
    </w:p>
    <w:p w14:paraId="3E8734D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structure and page-level content plan</w:t>
      </w:r>
    </w:p>
    <w:p w14:paraId="6402EE26"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Technical and functional requirement documentation</w:t>
      </w:r>
    </w:p>
    <w:p w14:paraId="5F772409"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Project plan with timelines, milestones, responsibilities, dependencies, and go-live phases</w:t>
      </w:r>
    </w:p>
    <w:p w14:paraId="78AE4D40"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3.2 Design and UX Deliverables</w:t>
      </w:r>
    </w:p>
    <w:p w14:paraId="51D6843D" w14:textId="77777777" w:rsidR="00B73D9E" w:rsidRPr="0092413A" w:rsidRDefault="00000000">
      <w:pPr>
        <w:rPr>
          <w:rFonts w:ascii="Calibri" w:hAnsi="Calibri" w:cs="Calibri"/>
          <w:sz w:val="24"/>
          <w:szCs w:val="24"/>
        </w:rPr>
      </w:pPr>
      <w:r w:rsidRPr="0092413A">
        <w:rPr>
          <w:rFonts w:ascii="Calibri" w:hAnsi="Calibri" w:cs="Calibri"/>
          <w:sz w:val="24"/>
          <w:szCs w:val="24"/>
        </w:rPr>
        <w:t>The agency will redesign the website in alignment with THF’s branding guidelines and institutional identity. Deliverables will include:</w:t>
      </w:r>
    </w:p>
    <w:p w14:paraId="2D9BF8E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Updated design style for all website pages</w:t>
      </w:r>
    </w:p>
    <w:p w14:paraId="53A82FC6"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UI/UX design for desktop, mobile, and tablet views</w:t>
      </w:r>
    </w:p>
    <w:p w14:paraId="763D9CD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Design mock-ups and wireframes for approved templates</w:t>
      </w:r>
    </w:p>
    <w:p w14:paraId="34B5C84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Integration of THF brand elements, program visuals, impact data, case stories, and content blocks</w:t>
      </w:r>
    </w:p>
    <w:p w14:paraId="3CD046A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Clear donor, CSR partner, job applicant, beneficiary, media, and stakeholder journeys</w:t>
      </w:r>
    </w:p>
    <w:p w14:paraId="1D330A66"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Social media integration</w:t>
      </w:r>
    </w:p>
    <w:p w14:paraId="4A22B87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Mobile-first and accessibility-conscious design approach</w:t>
      </w:r>
    </w:p>
    <w:p w14:paraId="310B2C5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Design system or reusable component library for future scalability</w:t>
      </w:r>
    </w:p>
    <w:p w14:paraId="14B08BD4"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3.3 Functionality-Based Deliverables</w:t>
      </w:r>
    </w:p>
    <w:p w14:paraId="53F0FA6A" w14:textId="77777777" w:rsidR="00B73D9E" w:rsidRPr="0092413A" w:rsidRDefault="00000000">
      <w:pPr>
        <w:rPr>
          <w:rFonts w:ascii="Calibri" w:hAnsi="Calibri" w:cs="Calibri"/>
          <w:sz w:val="24"/>
          <w:szCs w:val="24"/>
        </w:rPr>
      </w:pPr>
      <w:r w:rsidRPr="0092413A">
        <w:rPr>
          <w:rFonts w:ascii="Calibri" w:hAnsi="Calibri" w:cs="Calibri"/>
          <w:sz w:val="24"/>
          <w:szCs w:val="24"/>
        </w:rPr>
        <w:t>The updated website must include, at minimum, the following functionalities:</w:t>
      </w:r>
    </w:p>
    <w:p w14:paraId="5EC38966"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Robust Blog Functionality: </w:t>
      </w:r>
    </w:p>
    <w:p w14:paraId="0E7B068B"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Improved blog section with tagging and categorization</w:t>
      </w:r>
    </w:p>
    <w:p w14:paraId="20B6B8F9"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Widget or content block to display selected blog posts across relevant pages based on tags</w:t>
      </w:r>
    </w:p>
    <w:p w14:paraId="1CE2DDF5"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Backend access for easy upload of blogs, impact numbers, and content updates</w:t>
      </w:r>
    </w:p>
    <w:p w14:paraId="4669CE01"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Moderation facility for blog comments or any user-generated data, if enabled</w:t>
      </w:r>
    </w:p>
    <w:p w14:paraId="6410D992"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Donation Integration: </w:t>
      </w:r>
    </w:p>
    <w:p w14:paraId="7577B4BD" w14:textId="77777777" w:rsidR="00B73D9E" w:rsidRPr="0092413A" w:rsidRDefault="00000000">
      <w:pPr>
        <w:pStyle w:val="ListBullet2"/>
        <w:spacing w:after="60"/>
        <w:rPr>
          <w:rFonts w:ascii="Calibri" w:hAnsi="Calibri" w:cs="Calibri"/>
          <w:sz w:val="24"/>
          <w:szCs w:val="24"/>
        </w:rPr>
      </w:pPr>
      <w:proofErr w:type="spellStart"/>
      <w:r w:rsidRPr="0092413A">
        <w:rPr>
          <w:rFonts w:ascii="Calibri" w:hAnsi="Calibri" w:cs="Calibri"/>
          <w:sz w:val="24"/>
          <w:szCs w:val="24"/>
        </w:rPr>
        <w:t>Razorpay</w:t>
      </w:r>
      <w:proofErr w:type="spellEnd"/>
      <w:r w:rsidRPr="0092413A">
        <w:rPr>
          <w:rFonts w:ascii="Calibri" w:hAnsi="Calibri" w:cs="Calibri"/>
          <w:sz w:val="24"/>
          <w:szCs w:val="24"/>
        </w:rPr>
        <w:t xml:space="preserve"> integration for domestic donations</w:t>
      </w:r>
    </w:p>
    <w:p w14:paraId="0C5DBCC9"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Donation buttons/widgets on relevant pages and project pages</w:t>
      </w:r>
    </w:p>
    <w:p w14:paraId="032023BF"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Compatibility for future international payment gateways such as PayPal or Stripe, subject to THF approvals and compliance requirements</w:t>
      </w:r>
    </w:p>
    <w:p w14:paraId="0307F6C3"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 xml:space="preserve">Compatibility for a backup domestic gateway such as </w:t>
      </w:r>
      <w:proofErr w:type="spellStart"/>
      <w:r w:rsidRPr="0092413A">
        <w:rPr>
          <w:rFonts w:ascii="Calibri" w:hAnsi="Calibri" w:cs="Calibri"/>
          <w:sz w:val="24"/>
          <w:szCs w:val="24"/>
        </w:rPr>
        <w:t>CCAvenue</w:t>
      </w:r>
      <w:proofErr w:type="spellEnd"/>
      <w:r w:rsidRPr="0092413A">
        <w:rPr>
          <w:rFonts w:ascii="Calibri" w:hAnsi="Calibri" w:cs="Calibri"/>
          <w:sz w:val="24"/>
          <w:szCs w:val="24"/>
        </w:rPr>
        <w:t xml:space="preserve"> or PayU, if required</w:t>
      </w:r>
    </w:p>
    <w:p w14:paraId="639235F0"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Scope for future CRM and donor engagement tool integration</w:t>
      </w:r>
    </w:p>
    <w:p w14:paraId="7B2C1145"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lastRenderedPageBreak/>
        <w:t xml:space="preserve">Role-Based Admin Panel: </w:t>
      </w:r>
    </w:p>
    <w:p w14:paraId="649F7B80"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Admin panel with role-based access and permission levels</w:t>
      </w:r>
    </w:p>
    <w:p w14:paraId="5551CBDE"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Ability for authorized users or program owners to update relevant website content</w:t>
      </w:r>
    </w:p>
    <w:p w14:paraId="3E06F2D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Permission levels for pages, blogs, impact numbers, media, resources, forms, careers, and other content</w:t>
      </w:r>
    </w:p>
    <w:p w14:paraId="2B9F113A"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Contact and Inquiry Forms: </w:t>
      </w:r>
    </w:p>
    <w:p w14:paraId="10649FDC"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Addition/</w:t>
      </w:r>
      <w:proofErr w:type="spellStart"/>
      <w:r w:rsidRPr="0092413A">
        <w:rPr>
          <w:rFonts w:ascii="Calibri" w:hAnsi="Calibri" w:cs="Calibri"/>
          <w:sz w:val="24"/>
          <w:szCs w:val="24"/>
        </w:rPr>
        <w:t>updation</w:t>
      </w:r>
      <w:proofErr w:type="spellEnd"/>
      <w:r w:rsidRPr="0092413A">
        <w:rPr>
          <w:rFonts w:ascii="Calibri" w:hAnsi="Calibri" w:cs="Calibri"/>
          <w:sz w:val="24"/>
          <w:szCs w:val="24"/>
        </w:rPr>
        <w:t xml:space="preserve"> of the Contact Us form and other inquiry forms</w:t>
      </w:r>
    </w:p>
    <w:p w14:paraId="7F5580D4"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Spam protection, validation, secure data handling, and consent language</w:t>
      </w:r>
    </w:p>
    <w:p w14:paraId="0E3C30E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Secure routing of form data to designated email IDs or systems</w:t>
      </w:r>
    </w:p>
    <w:p w14:paraId="362D4A10"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Careers Section: </w:t>
      </w:r>
    </w:p>
    <w:p w14:paraId="027F257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Improved Careers page</w:t>
      </w:r>
    </w:p>
    <w:p w14:paraId="62CD6EBE"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HR announcement/update section</w:t>
      </w:r>
    </w:p>
    <w:p w14:paraId="7E1E5C6B"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Scope for future HRMS integration</w:t>
      </w:r>
    </w:p>
    <w:p w14:paraId="6DCC6D34"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Search Functionality: </w:t>
      </w:r>
    </w:p>
    <w:p w14:paraId="56865927"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Search across website pages, blogs, programs, resources, reports, and other key content</w:t>
      </w:r>
    </w:p>
    <w:p w14:paraId="7B17115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Relevant filters and tags wherever feasible</w:t>
      </w:r>
    </w:p>
    <w:p w14:paraId="3F01578D"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External Feed Support: </w:t>
      </w:r>
    </w:p>
    <w:p w14:paraId="31889C5B"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Support for external feeds where required</w:t>
      </w:r>
    </w:p>
    <w:p w14:paraId="60E32A9F"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Real-time data moderation and validation for external content or data sources</w:t>
      </w:r>
    </w:p>
    <w:p w14:paraId="05E6EE42"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 xml:space="preserve">Content Migration and Redirects: </w:t>
      </w:r>
    </w:p>
    <w:p w14:paraId="074EFAF3"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Migration of approved existing content and assets</w:t>
      </w:r>
    </w:p>
    <w:p w14:paraId="7BFDECC1"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SEO-friendly redirects for changed URLs</w:t>
      </w:r>
    </w:p>
    <w:p w14:paraId="577095F5"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Broken-link testing and post-migration QA</w:t>
      </w:r>
    </w:p>
    <w:p w14:paraId="1535BCC9"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3.4 Technology-Based Deliverables</w:t>
      </w:r>
    </w:p>
    <w:p w14:paraId="49982A42" w14:textId="77777777" w:rsidR="00B73D9E" w:rsidRPr="0092413A" w:rsidRDefault="00000000">
      <w:pPr>
        <w:rPr>
          <w:rFonts w:ascii="Calibri" w:hAnsi="Calibri" w:cs="Calibri"/>
          <w:sz w:val="24"/>
          <w:szCs w:val="24"/>
        </w:rPr>
      </w:pPr>
      <w:r w:rsidRPr="0092413A">
        <w:rPr>
          <w:rFonts w:ascii="Calibri" w:hAnsi="Calibri" w:cs="Calibri"/>
          <w:sz w:val="24"/>
          <w:szCs w:val="24"/>
        </w:rPr>
        <w:t>The agency will be responsible for the complete technical rebuild, optimization, testing, and deployment support of the website. Deliverables will include:</w:t>
      </w:r>
    </w:p>
    <w:p w14:paraId="5C94C448" w14:textId="4DD7DEDE" w:rsidR="00B7186F" w:rsidRPr="0092413A" w:rsidRDefault="00B7186F">
      <w:pPr>
        <w:pStyle w:val="ListBullet"/>
        <w:spacing w:after="60"/>
        <w:rPr>
          <w:rFonts w:ascii="Calibri" w:hAnsi="Calibri" w:cs="Calibri"/>
          <w:sz w:val="24"/>
          <w:szCs w:val="24"/>
        </w:rPr>
      </w:pPr>
      <w:r w:rsidRPr="0092413A">
        <w:rPr>
          <w:rFonts w:ascii="Calibri" w:hAnsi="Calibri" w:cs="Calibri"/>
          <w:sz w:val="24"/>
          <w:szCs w:val="24"/>
        </w:rPr>
        <w:t xml:space="preserve">Complete code </w:t>
      </w:r>
      <w:r w:rsidRPr="0092413A">
        <w:rPr>
          <w:rFonts w:ascii="Calibri" w:hAnsi="Calibri" w:cs="Calibri"/>
          <w:sz w:val="24"/>
          <w:szCs w:val="24"/>
        </w:rPr>
        <w:t>rebuilds</w:t>
      </w:r>
      <w:r w:rsidRPr="0092413A">
        <w:rPr>
          <w:rFonts w:ascii="Calibri" w:hAnsi="Calibri" w:cs="Calibri"/>
          <w:sz w:val="24"/>
          <w:szCs w:val="24"/>
        </w:rPr>
        <w:t xml:space="preserve"> compatible with a currently supported and secure technology stack, with the proposed stack and version clearly justified by dependencies and a defined upgrade roadmap.</w:t>
      </w:r>
    </w:p>
    <w:p w14:paraId="49B8326C" w14:textId="33EB1516"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Mobile-responsive design across all pages</w:t>
      </w:r>
    </w:p>
    <w:p w14:paraId="3A733BEA"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Compatibility across major browsers</w:t>
      </w:r>
    </w:p>
    <w:p w14:paraId="71CE625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Progressive Web App capability, if technically feasible and aligned with final requirements</w:t>
      </w:r>
    </w:p>
    <w:p w14:paraId="159E7CE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Balance between client-side and server-side rendering of content for performance and SEO</w:t>
      </w:r>
    </w:p>
    <w:p w14:paraId="7C2A0AF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Search Engine Optimization, including keyword identification and metadata implementation</w:t>
      </w:r>
    </w:p>
    <w:p w14:paraId="73F3CB9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AEO and GEO readiness</w:t>
      </w:r>
    </w:p>
    <w:p w14:paraId="6AD7727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Google Analytics integration and Google Tag Manager readiness</w:t>
      </w:r>
    </w:p>
    <w:p w14:paraId="664E579A"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lastRenderedPageBreak/>
        <w:t>Google Ads/AdWords integration readiness</w:t>
      </w:r>
    </w:p>
    <w:p w14:paraId="6683A734"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Website performance optimization with defined performance benchmarks</w:t>
      </w:r>
    </w:p>
    <w:p w14:paraId="63B2642F"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Page loading speed optimization with a target of fast, measurable, and user-friendly loading across devices</w:t>
      </w:r>
    </w:p>
    <w:p w14:paraId="4DBA474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Complete website testing, including UAT, functional testing, performance testing, security testing, browser compatibility testing, mobile responsiveness testing, SEO testing, and accessibility testing</w:t>
      </w:r>
    </w:p>
    <w:p w14:paraId="7E4E21D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User manual, admin training, and technical documentation</w:t>
      </w:r>
    </w:p>
    <w:p w14:paraId="1675699C"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Deployment plan, rollback plan, and post-go-live monitoring</w:t>
      </w:r>
    </w:p>
    <w:p w14:paraId="31614F2E"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3.5 Security, Performance, Accessibility, and Compliance Requirements</w:t>
      </w:r>
    </w:p>
    <w:p w14:paraId="7D275274" w14:textId="77777777" w:rsidR="00B73D9E" w:rsidRPr="0092413A" w:rsidRDefault="00000000">
      <w:pPr>
        <w:rPr>
          <w:rFonts w:ascii="Calibri" w:hAnsi="Calibri" w:cs="Calibri"/>
          <w:sz w:val="24"/>
          <w:szCs w:val="24"/>
        </w:rPr>
      </w:pPr>
      <w:r w:rsidRPr="0092413A">
        <w:rPr>
          <w:rFonts w:ascii="Calibri" w:hAnsi="Calibri" w:cs="Calibri"/>
          <w:sz w:val="24"/>
          <w:szCs w:val="24"/>
        </w:rPr>
        <w:t>The website must meet strong data security, performance, accessibility, and continuity standards. The agency must ensure:</w:t>
      </w:r>
    </w:p>
    <w:p w14:paraId="6893159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Data security across all website functions, forms, admin access, media libraries, and integrations</w:t>
      </w:r>
    </w:p>
    <w:p w14:paraId="6DAF250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Protection from vulnerabilities, including cross-site scripting, DDoS attacks, malware, spam, brute-force login attempts, and other common threats</w:t>
      </w:r>
    </w:p>
    <w:p w14:paraId="732C7713"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Secure forms and backend access with spam protection, validation, rate limiting where required, and secure data transmission</w:t>
      </w:r>
    </w:p>
    <w:p w14:paraId="0BE10592"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Regular security patches, CMS updates, plugin updates, and vulnerability monitoring</w:t>
      </w:r>
    </w:p>
    <w:p w14:paraId="529F7AA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Secure admin access, role-based permissions, strong password policies, and MFA readiness</w:t>
      </w:r>
    </w:p>
    <w:p w14:paraId="4B30E62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Monthly uptime commitment of at least 99.9%, excluding approved scheduled maintenance</w:t>
      </w:r>
    </w:p>
    <w:p w14:paraId="2DFA5AAF"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Backup and recovery mechanisms with defined Recovery Time Objective (RTO) and Recovery Point Objective (RPO)</w:t>
      </w:r>
    </w:p>
    <w:p w14:paraId="7875B05B"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Minimum RTO of 4 hours and RPO of 24 hours, unless a stronger standard is proposed by the agency</w:t>
      </w:r>
    </w:p>
    <w:p w14:paraId="55FB8985"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Performance monitoring, uptime monitoring, and monthly maintenance reporting</w:t>
      </w:r>
    </w:p>
    <w:p w14:paraId="2DD793E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Compliance with WCAG 2.1 Level AA accessibility standards</w:t>
      </w:r>
    </w:p>
    <w:p w14:paraId="4251BD90"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Compliance with applicable provisions of the Digital Personal Data Protection Act, 2023, including consent mechanisms, privacy notice support, data minimization, purpose limitation, secure processing, and retention controls for personal data collected through forms or integrations</w:t>
      </w:r>
    </w:p>
    <w:p w14:paraId="54E22370"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4. Communication and Collaboration</w:t>
      </w:r>
    </w:p>
    <w:p w14:paraId="02766FA2" w14:textId="77777777" w:rsidR="00B73D9E" w:rsidRPr="0092413A" w:rsidRDefault="00000000">
      <w:pPr>
        <w:rPr>
          <w:rFonts w:ascii="Calibri" w:hAnsi="Calibri" w:cs="Calibri"/>
          <w:sz w:val="24"/>
          <w:szCs w:val="24"/>
        </w:rPr>
      </w:pPr>
      <w:r w:rsidRPr="0092413A">
        <w:rPr>
          <w:rFonts w:ascii="Calibri" w:hAnsi="Calibri" w:cs="Calibri"/>
          <w:sz w:val="24"/>
          <w:szCs w:val="24"/>
        </w:rPr>
        <w:t>Weekly progress meetings are expected to ensure that the project stays on track and meets its objectives. Any issues, risks, dependencies, or concerns must be raised during these meetings and resolved collaboratively.</w:t>
      </w:r>
    </w:p>
    <w:p w14:paraId="14A55B91" w14:textId="77777777" w:rsidR="00B73D9E" w:rsidRPr="0092413A" w:rsidRDefault="00000000">
      <w:pPr>
        <w:rPr>
          <w:rFonts w:ascii="Calibri" w:hAnsi="Calibri" w:cs="Calibri"/>
          <w:sz w:val="24"/>
          <w:szCs w:val="24"/>
        </w:rPr>
      </w:pPr>
      <w:r w:rsidRPr="0092413A">
        <w:rPr>
          <w:rFonts w:ascii="Calibri" w:hAnsi="Calibri" w:cs="Calibri"/>
          <w:sz w:val="24"/>
          <w:szCs w:val="24"/>
        </w:rPr>
        <w:t>The agency must assign a dedicated project manager or point of contact for coordination with THF. The agency will be expected to share:</w:t>
      </w:r>
    </w:p>
    <w:p w14:paraId="26B6889F"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Weekly progress updates</w:t>
      </w:r>
    </w:p>
    <w:p w14:paraId="43A3F60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lastRenderedPageBreak/>
        <w:t>Design and development status</w:t>
      </w:r>
    </w:p>
    <w:p w14:paraId="04235D1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Open decisions and dependencies</w:t>
      </w:r>
    </w:p>
    <w:p w14:paraId="5BB610D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Risk/issues tracker</w:t>
      </w:r>
    </w:p>
    <w:p w14:paraId="72B0123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Revised timelines, where applicable</w:t>
      </w:r>
    </w:p>
    <w:p w14:paraId="67B8B913"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Testing and QA reports</w:t>
      </w:r>
    </w:p>
    <w:p w14:paraId="34A104F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migration status</w:t>
      </w:r>
    </w:p>
    <w:p w14:paraId="20484343"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Security, performance, and accessibility testing updates</w:t>
      </w:r>
    </w:p>
    <w:p w14:paraId="0F49186A"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Final handover documentation</w:t>
      </w:r>
    </w:p>
    <w:p w14:paraId="023A6165"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5. Project Timeline</w:t>
      </w:r>
    </w:p>
    <w:p w14:paraId="14B70CBA" w14:textId="77777777" w:rsidR="00B73D9E" w:rsidRPr="0092413A" w:rsidRDefault="00000000">
      <w:pPr>
        <w:rPr>
          <w:rFonts w:ascii="Calibri" w:hAnsi="Calibri" w:cs="Calibri"/>
          <w:sz w:val="24"/>
          <w:szCs w:val="24"/>
        </w:rPr>
      </w:pPr>
      <w:r w:rsidRPr="0092413A">
        <w:rPr>
          <w:rFonts w:ascii="Calibri" w:hAnsi="Calibri" w:cs="Calibri"/>
          <w:sz w:val="24"/>
          <w:szCs w:val="24"/>
        </w:rPr>
        <w:t>The project will be executed in three broad phases. Agencies must propose detailed timelines, milestones, dependencies, and deliverables for each phase.</w:t>
      </w:r>
    </w:p>
    <w:tbl>
      <w:tblPr>
        <w:tblStyle w:val="TableGrid"/>
        <w:tblW w:w="0" w:type="auto"/>
        <w:jc w:val="center"/>
        <w:tblLook w:val="04A0" w:firstRow="1" w:lastRow="0" w:firstColumn="1" w:lastColumn="0" w:noHBand="0" w:noVBand="1"/>
      </w:tblPr>
      <w:tblGrid>
        <w:gridCol w:w="2651"/>
        <w:gridCol w:w="4858"/>
        <w:gridCol w:w="2561"/>
      </w:tblGrid>
      <w:tr w:rsidR="00B73D9E" w:rsidRPr="0092413A" w14:paraId="39C9E481" w14:textId="77777777">
        <w:trPr>
          <w:jc w:val="center"/>
        </w:trPr>
        <w:tc>
          <w:tcPr>
            <w:tcW w:w="3024" w:type="dxa"/>
            <w:shd w:val="clear" w:color="auto" w:fill="1F4E79"/>
            <w:vAlign w:val="center"/>
          </w:tcPr>
          <w:p w14:paraId="4D6FF56B"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Phase</w:t>
            </w:r>
          </w:p>
        </w:tc>
        <w:tc>
          <w:tcPr>
            <w:tcW w:w="5760" w:type="dxa"/>
            <w:shd w:val="clear" w:color="auto" w:fill="1F4E79"/>
            <w:vAlign w:val="center"/>
          </w:tcPr>
          <w:p w14:paraId="5B26DD0A"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Scope</w:t>
            </w:r>
          </w:p>
        </w:tc>
        <w:tc>
          <w:tcPr>
            <w:tcW w:w="2736" w:type="dxa"/>
            <w:shd w:val="clear" w:color="auto" w:fill="1F4E79"/>
            <w:vAlign w:val="center"/>
          </w:tcPr>
          <w:p w14:paraId="7CFABA4C"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Timeline/Duration</w:t>
            </w:r>
          </w:p>
        </w:tc>
      </w:tr>
      <w:tr w:rsidR="00B73D9E" w:rsidRPr="0092413A" w14:paraId="36FA5746" w14:textId="77777777">
        <w:trPr>
          <w:jc w:val="center"/>
        </w:trPr>
        <w:tc>
          <w:tcPr>
            <w:tcW w:w="3024" w:type="dxa"/>
            <w:vAlign w:val="center"/>
          </w:tcPr>
          <w:p w14:paraId="114FFC1D"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Phase 1: Discovery, Research, and Planning</w:t>
            </w:r>
          </w:p>
        </w:tc>
        <w:tc>
          <w:tcPr>
            <w:tcW w:w="5760" w:type="dxa"/>
            <w:vAlign w:val="center"/>
          </w:tcPr>
          <w:p w14:paraId="44879071"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Requirement gathering, objective finalization, audience mapping, current website audit, benchmarking, sitemap, wireframes, content inventory, content migration plan, technical planning, and project planning.</w:t>
            </w:r>
          </w:p>
        </w:tc>
        <w:tc>
          <w:tcPr>
            <w:tcW w:w="2736" w:type="dxa"/>
            <w:vAlign w:val="center"/>
          </w:tcPr>
          <w:p w14:paraId="1FBD29D3"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Timeline to be proposed by the agency.</w:t>
            </w:r>
          </w:p>
        </w:tc>
      </w:tr>
      <w:tr w:rsidR="00B73D9E" w:rsidRPr="0092413A" w14:paraId="56F280F0" w14:textId="77777777">
        <w:trPr>
          <w:jc w:val="center"/>
        </w:trPr>
        <w:tc>
          <w:tcPr>
            <w:tcW w:w="3024" w:type="dxa"/>
            <w:vAlign w:val="center"/>
          </w:tcPr>
          <w:p w14:paraId="3CF2E72E"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Phase 2: Design, Development, Testing, and Deployment</w:t>
            </w:r>
          </w:p>
        </w:tc>
        <w:tc>
          <w:tcPr>
            <w:tcW w:w="5760" w:type="dxa"/>
            <w:vAlign w:val="center"/>
          </w:tcPr>
          <w:p w14:paraId="4D9BA5E1"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Approved design mock-ups, UI/UX, front-end and back-end development, CMS, role-based admin panel, donation integration, forms, SEO/AEO/GEO, analytics, content migration, testing, UAT, deployment, and go-live support.</w:t>
            </w:r>
          </w:p>
        </w:tc>
        <w:tc>
          <w:tcPr>
            <w:tcW w:w="2736" w:type="dxa"/>
            <w:vAlign w:val="center"/>
          </w:tcPr>
          <w:p w14:paraId="67377E3B"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Timeline to be proposed by the agency.</w:t>
            </w:r>
          </w:p>
        </w:tc>
      </w:tr>
      <w:tr w:rsidR="00B73D9E" w:rsidRPr="0092413A" w14:paraId="1D115F73" w14:textId="77777777">
        <w:trPr>
          <w:jc w:val="center"/>
        </w:trPr>
        <w:tc>
          <w:tcPr>
            <w:tcW w:w="3024" w:type="dxa"/>
            <w:vAlign w:val="center"/>
          </w:tcPr>
          <w:p w14:paraId="3049596B"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Phase 3: Maintenance and Continuous Improvement</w:t>
            </w:r>
          </w:p>
        </w:tc>
        <w:tc>
          <w:tcPr>
            <w:tcW w:w="5760" w:type="dxa"/>
            <w:vAlign w:val="center"/>
          </w:tcPr>
          <w:p w14:paraId="08F83CBC"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Post-launch warranty, hosting/maintenance support, security patches, updates, analytics review, SEO support, troubleshooting, bug fixing, performance monitoring, and iterative improvements.</w:t>
            </w:r>
          </w:p>
        </w:tc>
        <w:tc>
          <w:tcPr>
            <w:tcW w:w="2736" w:type="dxa"/>
            <w:vAlign w:val="center"/>
          </w:tcPr>
          <w:p w14:paraId="363EAA20"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Minimum warranty and AMC requirements as defined in this RFP.</w:t>
            </w:r>
          </w:p>
        </w:tc>
      </w:tr>
    </w:tbl>
    <w:p w14:paraId="3E877FBE" w14:textId="77777777" w:rsidR="00B73D9E" w:rsidRPr="0092413A" w:rsidRDefault="00B73D9E">
      <w:pPr>
        <w:rPr>
          <w:rFonts w:ascii="Calibri" w:hAnsi="Calibri" w:cs="Calibri"/>
          <w:sz w:val="24"/>
          <w:szCs w:val="24"/>
        </w:rPr>
      </w:pPr>
    </w:p>
    <w:p w14:paraId="6F3C6201"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5.1 Post-Launch Warranty</w:t>
      </w:r>
    </w:p>
    <w:p w14:paraId="7A88B33A" w14:textId="77777777" w:rsidR="00B73D9E" w:rsidRPr="0092413A" w:rsidRDefault="00000000">
      <w:pPr>
        <w:rPr>
          <w:rFonts w:ascii="Calibri" w:hAnsi="Calibri" w:cs="Calibri"/>
          <w:sz w:val="24"/>
          <w:szCs w:val="24"/>
        </w:rPr>
      </w:pPr>
      <w:r w:rsidRPr="0092413A">
        <w:rPr>
          <w:rFonts w:ascii="Calibri" w:hAnsi="Calibri" w:cs="Calibri"/>
          <w:sz w:val="24"/>
          <w:szCs w:val="24"/>
        </w:rPr>
        <w:t>The selected agency must provide a minimum 90-day post-launch bug-fixing warranty at no additional cost from the date of final go-live and written acceptance by THF. The warranty must cover all defects, errors, compatibility issues, broken functionality, CMS issues, integration issues, accessibility defects, and performance issues attributable to the agency’s work.</w:t>
      </w:r>
    </w:p>
    <w:p w14:paraId="6950A371"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lastRenderedPageBreak/>
        <w:t>5.2 AMC and Maintenance Scope</w:t>
      </w:r>
    </w:p>
    <w:p w14:paraId="559B0B21" w14:textId="77777777" w:rsidR="00B73D9E" w:rsidRPr="0092413A" w:rsidRDefault="00000000">
      <w:pPr>
        <w:rPr>
          <w:rFonts w:ascii="Calibri" w:hAnsi="Calibri" w:cs="Calibri"/>
          <w:sz w:val="24"/>
          <w:szCs w:val="24"/>
        </w:rPr>
      </w:pPr>
      <w:r w:rsidRPr="0092413A">
        <w:rPr>
          <w:rFonts w:ascii="Calibri" w:hAnsi="Calibri" w:cs="Calibri"/>
          <w:sz w:val="24"/>
          <w:szCs w:val="24"/>
        </w:rPr>
        <w:t>After the warranty period, the agency may be engaged for Annual Maintenance and Support, subject to THF’s approval. The AMC proposal must clearly define what is included and excluded. At minimum, the AMC proposal must cover:</w:t>
      </w:r>
    </w:p>
    <w:p w14:paraId="3806CC1A"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Minimum monthly support hours, with at least 20 support hours per month proposed as the base support slab</w:t>
      </w:r>
    </w:p>
    <w:p w14:paraId="77D0D67C"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Security updates, CMS updates, plugin updates, bug fixes, and compatibility checks</w:t>
      </w:r>
    </w:p>
    <w:p w14:paraId="21C1597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Response time SLAs: critical issues within 2 hours, high-priority issues within 4 business hours, medium-priority issues within 1 business day, and low-priority issues within 2 business days</w:t>
      </w:r>
    </w:p>
    <w:p w14:paraId="1192253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Resolution time targets for critical, high, medium, and low-priority issues</w:t>
      </w:r>
    </w:p>
    <w:p w14:paraId="2EA97F0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Uptime monitoring, backup checks, performance monitoring, and monthly maintenance reports</w:t>
      </w:r>
    </w:p>
    <w:p w14:paraId="377BDCA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update support, if included, with clear limits on number of hours, pages, or update requests per month</w:t>
      </w:r>
    </w:p>
    <w:p w14:paraId="25CDD994"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Exclusions such as major redesign, new modules, new integrations, large-scale content creation, translation, or third-party license costs, unless explicitly included</w:t>
      </w:r>
    </w:p>
    <w:p w14:paraId="6520B87D"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6. Proposal Requirements</w:t>
      </w:r>
    </w:p>
    <w:p w14:paraId="33527651" w14:textId="69C3E07E" w:rsidR="00B73D9E" w:rsidRPr="0092413A" w:rsidRDefault="00000000">
      <w:pPr>
        <w:rPr>
          <w:rFonts w:ascii="Calibri" w:hAnsi="Calibri" w:cs="Calibri"/>
          <w:sz w:val="24"/>
          <w:szCs w:val="24"/>
        </w:rPr>
      </w:pPr>
      <w:r w:rsidRPr="0092413A">
        <w:rPr>
          <w:rFonts w:ascii="Calibri" w:hAnsi="Calibri" w:cs="Calibri"/>
          <w:sz w:val="24"/>
          <w:szCs w:val="24"/>
        </w:rPr>
        <w:t>Interested agencies are requested to study THF’s current website, social media platforms, annual report, organizational deck, and the Scope of Work before submitting their proposal.</w:t>
      </w:r>
      <w:r w:rsidR="000C7B68">
        <w:rPr>
          <w:rFonts w:ascii="Calibri" w:hAnsi="Calibri" w:cs="Calibri"/>
          <w:sz w:val="24"/>
          <w:szCs w:val="24"/>
        </w:rPr>
        <w:t xml:space="preserve"> </w:t>
      </w:r>
      <w:r w:rsidR="000C7B68" w:rsidRPr="003F3D85">
        <w:rPr>
          <w:rFonts w:ascii="Calibri" w:hAnsi="Calibri" w:cs="Calibri"/>
          <w:sz w:val="24"/>
          <w:szCs w:val="24"/>
          <w:highlight w:val="yellow"/>
        </w:rPr>
        <w:t xml:space="preserve">The proposals need to be divided into two </w:t>
      </w:r>
      <w:r w:rsidR="003F3D85" w:rsidRPr="003F3D85">
        <w:rPr>
          <w:rFonts w:ascii="Calibri" w:hAnsi="Calibri" w:cs="Calibri"/>
          <w:sz w:val="24"/>
          <w:szCs w:val="24"/>
          <w:highlight w:val="yellow"/>
        </w:rPr>
        <w:t>documents;</w:t>
      </w:r>
      <w:r w:rsidR="000C7B68" w:rsidRPr="003F3D85">
        <w:rPr>
          <w:rFonts w:ascii="Calibri" w:hAnsi="Calibri" w:cs="Calibri"/>
          <w:sz w:val="24"/>
          <w:szCs w:val="24"/>
          <w:highlight w:val="yellow"/>
        </w:rPr>
        <w:t xml:space="preserve"> one is the technical proposal with the annexure B checklist and financial proposal with annexure A filled.</w:t>
      </w:r>
    </w:p>
    <w:p w14:paraId="7D91D245"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6.1 Technical Proposal</w:t>
      </w:r>
    </w:p>
    <w:p w14:paraId="5E3CA0E4" w14:textId="77777777" w:rsidR="00B73D9E" w:rsidRPr="0092413A" w:rsidRDefault="00000000">
      <w:pPr>
        <w:rPr>
          <w:rFonts w:ascii="Calibri" w:hAnsi="Calibri" w:cs="Calibri"/>
          <w:sz w:val="24"/>
          <w:szCs w:val="24"/>
        </w:rPr>
      </w:pPr>
      <w:r w:rsidRPr="0092413A">
        <w:rPr>
          <w:rFonts w:ascii="Calibri" w:hAnsi="Calibri" w:cs="Calibri"/>
          <w:sz w:val="24"/>
          <w:szCs w:val="24"/>
        </w:rPr>
        <w:t>The technical proposal must include:</w:t>
      </w:r>
    </w:p>
    <w:p w14:paraId="56F54662"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Project Understanding:</w:t>
      </w:r>
    </w:p>
    <w:p w14:paraId="1A9A0B99"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Understanding of THF’s objectives</w:t>
      </w:r>
    </w:p>
    <w:p w14:paraId="22BBB8F0"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Understanding of target audiences and stakeholder journeys</w:t>
      </w:r>
    </w:p>
    <w:p w14:paraId="16B28630"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Interpretation of the Scope of Work</w:t>
      </w:r>
    </w:p>
    <w:p w14:paraId="59D29F5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Understanding of current website challenges and rebuild requirements</w:t>
      </w:r>
    </w:p>
    <w:p w14:paraId="00381737"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Project Approach:</w:t>
      </w:r>
    </w:p>
    <w:p w14:paraId="02DF5274"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Design and development methodology</w:t>
      </w:r>
    </w:p>
    <w:p w14:paraId="4C6AEBD5"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Content management approach</w:t>
      </w:r>
    </w:p>
    <w:p w14:paraId="3CE61B5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Content migration approach</w:t>
      </w:r>
    </w:p>
    <w:p w14:paraId="62B4A642"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SEO, AEO, and GEO approach</w:t>
      </w:r>
    </w:p>
    <w:p w14:paraId="475B2C42"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Security, performance, and accessibility approach</w:t>
      </w:r>
    </w:p>
    <w:p w14:paraId="0FBDCA9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Quality assurance and testing approach</w:t>
      </w:r>
    </w:p>
    <w:p w14:paraId="7F123BA0"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Maintenance and support approach</w:t>
      </w:r>
    </w:p>
    <w:p w14:paraId="6F40EDE0" w14:textId="68B961E4" w:rsidR="00E47234" w:rsidRPr="0092413A" w:rsidRDefault="00000000" w:rsidP="00E47234">
      <w:pPr>
        <w:spacing w:after="40"/>
        <w:rPr>
          <w:rFonts w:ascii="Calibri" w:hAnsi="Calibri" w:cs="Calibri"/>
          <w:sz w:val="24"/>
          <w:szCs w:val="24"/>
        </w:rPr>
      </w:pPr>
      <w:r w:rsidRPr="0092413A">
        <w:rPr>
          <w:rFonts w:ascii="Calibri" w:hAnsi="Calibri" w:cs="Calibri"/>
          <w:b/>
          <w:sz w:val="24"/>
          <w:szCs w:val="24"/>
        </w:rPr>
        <w:lastRenderedPageBreak/>
        <w:t>CMS and Technology Recommendation:</w:t>
      </w:r>
    </w:p>
    <w:p w14:paraId="28F2A290"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Recommended CMS and justification</w:t>
      </w:r>
    </w:p>
    <w:p w14:paraId="7F532F46"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Technology stack and version details</w:t>
      </w:r>
    </w:p>
    <w:p w14:paraId="35497CC7"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Front-end and back-end development tools, frameworks, and libraries proposed, with version details</w:t>
      </w:r>
    </w:p>
    <w:p w14:paraId="5F44AACB"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Database technology proposed (for example, MySQL, MariaDB, PostgreSQL), with version details</w:t>
      </w:r>
    </w:p>
    <w:p w14:paraId="6859190B"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Operating system proposed for hosting the website (for example, Linux distribution or Windows Server), with version details</w:t>
      </w:r>
    </w:p>
    <w:p w14:paraId="3D229908"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Plugin/module strategy and dependency risks</w:t>
      </w:r>
    </w:p>
    <w:p w14:paraId="7355A02B"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Upgrade and maintainability approach</w:t>
      </w:r>
    </w:p>
    <w:p w14:paraId="36EE90C6" w14:textId="77777777" w:rsidR="00E47234" w:rsidRPr="0092413A" w:rsidRDefault="00E47234" w:rsidP="00E47234">
      <w:pPr>
        <w:pStyle w:val="font-claude-response-body"/>
        <w:numPr>
          <w:ilvl w:val="0"/>
          <w:numId w:val="10"/>
        </w:numPr>
        <w:rPr>
          <w:rFonts w:ascii="Calibri" w:hAnsi="Calibri" w:cs="Calibri"/>
        </w:rPr>
      </w:pPr>
      <w:r w:rsidRPr="0092413A">
        <w:rPr>
          <w:rFonts w:ascii="Calibri" w:hAnsi="Calibri" w:cs="Calibri"/>
        </w:rPr>
        <w:t>Vendor lock-in risks and mitigation plan</w:t>
      </w:r>
    </w:p>
    <w:p w14:paraId="4B38B654"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Hosting and Infrastructure Approach:</w:t>
      </w:r>
    </w:p>
    <w:p w14:paraId="59B79BE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Proposed hosting model</w:t>
      </w:r>
    </w:p>
    <w:p w14:paraId="73E55352"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Server location and data handling approach</w:t>
      </w:r>
    </w:p>
    <w:p w14:paraId="3FBA5F89"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Backup, recovery, security, monitoring, uptime, and scalability plan</w:t>
      </w:r>
    </w:p>
    <w:p w14:paraId="6BEFD013"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Hosting cost assumptions and recurring costs</w:t>
      </w:r>
    </w:p>
    <w:p w14:paraId="6A0E69C7"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Timeline and Deliverables:</w:t>
      </w:r>
    </w:p>
    <w:p w14:paraId="45FCE151"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Detailed project timeline</w:t>
      </w:r>
    </w:p>
    <w:p w14:paraId="115CBB1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Phase-wise deliverables</w:t>
      </w:r>
    </w:p>
    <w:p w14:paraId="2D8232F4"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Key milestones</w:t>
      </w:r>
    </w:p>
    <w:p w14:paraId="76E98D0F"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Dependencies from THF</w:t>
      </w:r>
    </w:p>
    <w:p w14:paraId="78D5712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Go-live plan and rollback plan</w:t>
      </w:r>
    </w:p>
    <w:p w14:paraId="2F62FD59"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Team Structure:</w:t>
      </w:r>
    </w:p>
    <w:p w14:paraId="039E15E1"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Proposed team members</w:t>
      </w:r>
    </w:p>
    <w:p w14:paraId="62BA045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Roles and responsibilities</w:t>
      </w:r>
    </w:p>
    <w:p w14:paraId="1545993C"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Relevant qualifications and experience</w:t>
      </w:r>
    </w:p>
    <w:p w14:paraId="2A14508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Team skills matrix listing the specific technical skills, technologies, certifications, and proficiency levels available within the proposed team (for example, front-end, back-end, CMS, database, DevOps, security, UI/UX, SEO, and accessibility skills)</w:t>
      </w:r>
    </w:p>
    <w:p w14:paraId="68628B62"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Dedicated project manager/contact person</w:t>
      </w:r>
    </w:p>
    <w:p w14:paraId="278A12DC"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Relevant Experience:</w:t>
      </w:r>
    </w:p>
    <w:p w14:paraId="770236BE"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Examples of similar website projects completed in the last three years</w:t>
      </w:r>
    </w:p>
    <w:p w14:paraId="2AFB1966"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Experience in UI/UX, sitemap development, website rebuilds, SEO, and technology implementation</w:t>
      </w:r>
    </w:p>
    <w:p w14:paraId="7E0A39F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Experience with nonprofit, CSR, donor-facing, or institutional websites will be preferred</w:t>
      </w:r>
    </w:p>
    <w:p w14:paraId="695F9A3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lastRenderedPageBreak/>
        <w:t>Client references and case studies</w:t>
      </w:r>
    </w:p>
    <w:p w14:paraId="13AD159E"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Company Information:</w:t>
      </w:r>
    </w:p>
    <w:p w14:paraId="722300BF"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Brief company profile</w:t>
      </w:r>
    </w:p>
    <w:p w14:paraId="43E0A1F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Number of full-time employees</w:t>
      </w:r>
    </w:p>
    <w:p w14:paraId="1BB33177" w14:textId="4942C0E3" w:rsidR="00B73D9E" w:rsidRPr="000C7B68" w:rsidRDefault="00000000">
      <w:pPr>
        <w:pStyle w:val="ListBullet2"/>
        <w:spacing w:after="60"/>
        <w:rPr>
          <w:rFonts w:ascii="Calibri" w:hAnsi="Calibri" w:cs="Calibri"/>
          <w:b/>
          <w:bCs/>
          <w:sz w:val="24"/>
          <w:szCs w:val="24"/>
        </w:rPr>
      </w:pPr>
      <w:r w:rsidRPr="000C7B68">
        <w:rPr>
          <w:rFonts w:ascii="Calibri" w:hAnsi="Calibri" w:cs="Calibri"/>
          <w:b/>
          <w:bCs/>
          <w:sz w:val="24"/>
          <w:szCs w:val="24"/>
        </w:rPr>
        <w:t>Turnover for the last three years</w:t>
      </w:r>
      <w:r w:rsidR="00B360DA" w:rsidRPr="000C7B68">
        <w:rPr>
          <w:rFonts w:ascii="Calibri" w:hAnsi="Calibri" w:cs="Calibri"/>
          <w:b/>
          <w:bCs/>
          <w:sz w:val="24"/>
          <w:szCs w:val="24"/>
        </w:rPr>
        <w:t xml:space="preserve"> (Important to be shared)</w:t>
      </w:r>
    </w:p>
    <w:p w14:paraId="447D71CE"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CMMI level, if applicable</w:t>
      </w:r>
    </w:p>
    <w:p w14:paraId="1B83C1EE"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ISO certification, if applicable</w:t>
      </w:r>
    </w:p>
    <w:p w14:paraId="28B395F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Relevant case studies and client references</w:t>
      </w:r>
    </w:p>
    <w:p w14:paraId="0C8DCC2D" w14:textId="77777777" w:rsidR="00B73D9E" w:rsidRPr="0092413A" w:rsidRDefault="00000000">
      <w:pPr>
        <w:spacing w:after="40"/>
        <w:rPr>
          <w:rFonts w:ascii="Calibri" w:hAnsi="Calibri" w:cs="Calibri"/>
          <w:sz w:val="24"/>
          <w:szCs w:val="24"/>
        </w:rPr>
      </w:pPr>
      <w:r w:rsidRPr="0092413A">
        <w:rPr>
          <w:rFonts w:ascii="Calibri" w:hAnsi="Calibri" w:cs="Calibri"/>
          <w:b/>
          <w:sz w:val="24"/>
          <w:szCs w:val="24"/>
        </w:rPr>
        <w:t>Technical Compliance:</w:t>
      </w:r>
    </w:p>
    <w:p w14:paraId="36DE95D7"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Security protocols</w:t>
      </w:r>
    </w:p>
    <w:p w14:paraId="14273B7D"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Data protection practices</w:t>
      </w:r>
    </w:p>
    <w:p w14:paraId="4021F0D8"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DPDP Act, 2023 compliance approach</w:t>
      </w:r>
    </w:p>
    <w:p w14:paraId="71215E6A"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Information Technology (IT) Act, 2000 compliance approach, including applicable provisions on secure electronic records, digital security practices, intermediary obligations, and reasonable security practices and procedures</w:t>
      </w:r>
    </w:p>
    <w:p w14:paraId="28300172"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Accessibility compliance approach</w:t>
      </w:r>
    </w:p>
    <w:p w14:paraId="54B42C55"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Browser and device compatibility plan</w:t>
      </w:r>
    </w:p>
    <w:p w14:paraId="1F15A261" w14:textId="77777777" w:rsidR="00B73D9E" w:rsidRPr="0092413A" w:rsidRDefault="00000000">
      <w:pPr>
        <w:pStyle w:val="ListBullet2"/>
        <w:spacing w:after="60"/>
        <w:rPr>
          <w:rFonts w:ascii="Calibri" w:hAnsi="Calibri" w:cs="Calibri"/>
          <w:sz w:val="24"/>
          <w:szCs w:val="24"/>
        </w:rPr>
      </w:pPr>
      <w:r w:rsidRPr="0092413A">
        <w:rPr>
          <w:rFonts w:ascii="Calibri" w:hAnsi="Calibri" w:cs="Calibri"/>
          <w:sz w:val="24"/>
          <w:szCs w:val="24"/>
        </w:rPr>
        <w:t>Testing plan and UAT approach</w:t>
      </w:r>
    </w:p>
    <w:p w14:paraId="1C03337D"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6.3 Mandatory Vendor Disclosure Parameters</w:t>
      </w:r>
    </w:p>
    <w:p w14:paraId="41DB0A7E" w14:textId="77777777" w:rsidR="00B73D9E" w:rsidRPr="0092413A" w:rsidRDefault="00000000">
      <w:pPr>
        <w:rPr>
          <w:rFonts w:ascii="Calibri" w:hAnsi="Calibri" w:cs="Calibri"/>
          <w:sz w:val="24"/>
          <w:szCs w:val="24"/>
        </w:rPr>
      </w:pPr>
      <w:r w:rsidRPr="0092413A">
        <w:rPr>
          <w:rFonts w:ascii="Calibri" w:hAnsi="Calibri" w:cs="Calibri"/>
          <w:sz w:val="24"/>
          <w:szCs w:val="24"/>
        </w:rPr>
        <w:t>For each parameter listed below, the vendor must mandatorily indicate whether the parameter is Available (Yes / No). Where the parameter is available, the vendor must enter the specific details in the space provided. Responses left blank, or marked “Yes” without supporting details, may render the proposal non-responsive. These parameters are mandatory and will be considered during technical evaluation.</w:t>
      </w:r>
    </w:p>
    <w:tbl>
      <w:tblPr>
        <w:tblStyle w:val="TableGrid"/>
        <w:tblW w:w="0" w:type="auto"/>
        <w:jc w:val="center"/>
        <w:tblLook w:val="04A0" w:firstRow="1" w:lastRow="0" w:firstColumn="1" w:lastColumn="0" w:noHBand="0" w:noVBand="1"/>
      </w:tblPr>
      <w:tblGrid>
        <w:gridCol w:w="3835"/>
        <w:gridCol w:w="2150"/>
        <w:gridCol w:w="4085"/>
      </w:tblGrid>
      <w:tr w:rsidR="00B73D9E" w:rsidRPr="0092413A" w14:paraId="11ACBC80" w14:textId="77777777">
        <w:trPr>
          <w:jc w:val="center"/>
        </w:trPr>
        <w:tc>
          <w:tcPr>
            <w:tcW w:w="3835" w:type="dxa"/>
            <w:shd w:val="clear" w:color="auto" w:fill="1F4E79"/>
            <w:vAlign w:val="center"/>
          </w:tcPr>
          <w:p w14:paraId="0B2E5393" w14:textId="77777777" w:rsidR="008D68E0" w:rsidRPr="0092413A" w:rsidRDefault="00000000">
            <w:pPr>
              <w:spacing w:after="0"/>
              <w:rPr>
                <w:rFonts w:ascii="Calibri" w:hAnsi="Calibri" w:cs="Calibri"/>
                <w:sz w:val="24"/>
                <w:szCs w:val="24"/>
              </w:rPr>
            </w:pPr>
            <w:r w:rsidRPr="0092413A">
              <w:rPr>
                <w:rFonts w:ascii="Calibri" w:hAnsi="Calibri" w:cs="Calibri"/>
                <w:b/>
                <w:color w:val="FFFFFF"/>
                <w:sz w:val="24"/>
                <w:szCs w:val="24"/>
              </w:rPr>
              <w:t>Parameter</w:t>
            </w:r>
          </w:p>
        </w:tc>
        <w:tc>
          <w:tcPr>
            <w:tcW w:w="2150" w:type="dxa"/>
            <w:shd w:val="clear" w:color="auto" w:fill="1F4E79"/>
            <w:vAlign w:val="center"/>
          </w:tcPr>
          <w:p w14:paraId="0B48F30A" w14:textId="77777777" w:rsidR="008D68E0" w:rsidRPr="0092413A" w:rsidRDefault="00000000">
            <w:pPr>
              <w:spacing w:after="0"/>
              <w:rPr>
                <w:rFonts w:ascii="Calibri" w:hAnsi="Calibri" w:cs="Calibri"/>
                <w:sz w:val="24"/>
                <w:szCs w:val="24"/>
              </w:rPr>
            </w:pPr>
            <w:r w:rsidRPr="0092413A">
              <w:rPr>
                <w:rFonts w:ascii="Calibri" w:hAnsi="Calibri" w:cs="Calibri"/>
                <w:b/>
                <w:color w:val="FFFFFF"/>
                <w:sz w:val="24"/>
                <w:szCs w:val="24"/>
              </w:rPr>
              <w:t>Available? (Yes / No) [Mandatory]</w:t>
            </w:r>
          </w:p>
        </w:tc>
        <w:tc>
          <w:tcPr>
            <w:tcW w:w="4085" w:type="dxa"/>
            <w:shd w:val="clear" w:color="auto" w:fill="1F4E79"/>
            <w:vAlign w:val="center"/>
          </w:tcPr>
          <w:p w14:paraId="08A088CC" w14:textId="77777777" w:rsidR="008D68E0" w:rsidRPr="0092413A" w:rsidRDefault="00000000">
            <w:pPr>
              <w:spacing w:after="0"/>
              <w:rPr>
                <w:rFonts w:ascii="Calibri" w:hAnsi="Calibri" w:cs="Calibri"/>
                <w:sz w:val="24"/>
                <w:szCs w:val="24"/>
              </w:rPr>
            </w:pPr>
            <w:r w:rsidRPr="0092413A">
              <w:rPr>
                <w:rFonts w:ascii="Calibri" w:hAnsi="Calibri" w:cs="Calibri"/>
                <w:b/>
                <w:color w:val="FFFFFF"/>
                <w:sz w:val="24"/>
                <w:szCs w:val="24"/>
              </w:rPr>
              <w:t>Details (Mandatory if Available)</w:t>
            </w:r>
          </w:p>
        </w:tc>
      </w:tr>
      <w:tr w:rsidR="00B73D9E" w:rsidRPr="0092413A" w14:paraId="6324D340" w14:textId="77777777">
        <w:trPr>
          <w:jc w:val="center"/>
        </w:trPr>
        <w:tc>
          <w:tcPr>
            <w:tcW w:w="3835" w:type="dxa"/>
            <w:vAlign w:val="center"/>
          </w:tcPr>
          <w:p w14:paraId="2AC82B6E" w14:textId="77777777" w:rsidR="008D68E0" w:rsidRPr="0092413A" w:rsidRDefault="00000000">
            <w:pPr>
              <w:spacing w:after="0"/>
              <w:rPr>
                <w:rFonts w:ascii="Calibri" w:hAnsi="Calibri" w:cs="Calibri"/>
                <w:sz w:val="24"/>
                <w:szCs w:val="24"/>
              </w:rPr>
            </w:pPr>
            <w:r w:rsidRPr="0092413A">
              <w:rPr>
                <w:rFonts w:ascii="Calibri" w:hAnsi="Calibri" w:cs="Calibri"/>
                <w:b/>
                <w:sz w:val="24"/>
                <w:szCs w:val="24"/>
              </w:rPr>
              <w:t>IT Act 2000 compliance</w:t>
            </w:r>
          </w:p>
          <w:p w14:paraId="5C36E5E3" w14:textId="77777777" w:rsidR="008D68E0" w:rsidRPr="0092413A" w:rsidRDefault="00000000">
            <w:pPr>
              <w:spacing w:after="0"/>
              <w:rPr>
                <w:rFonts w:ascii="Calibri" w:hAnsi="Calibri" w:cs="Calibri"/>
                <w:sz w:val="24"/>
                <w:szCs w:val="24"/>
              </w:rPr>
            </w:pPr>
            <w:r w:rsidRPr="0092413A">
              <w:rPr>
                <w:rFonts w:ascii="Calibri" w:hAnsi="Calibri" w:cs="Calibri"/>
                <w:sz w:val="24"/>
                <w:szCs w:val="24"/>
              </w:rPr>
              <w:t>Approach to compliance with applicable provisions of the Information Technology Act, 2000 and related rules</w:t>
            </w:r>
          </w:p>
        </w:tc>
        <w:tc>
          <w:tcPr>
            <w:tcW w:w="2150" w:type="dxa"/>
            <w:vAlign w:val="center"/>
          </w:tcPr>
          <w:p w14:paraId="411E27E1" w14:textId="77777777" w:rsidR="008D68E0" w:rsidRPr="0092413A" w:rsidRDefault="008D68E0">
            <w:pPr>
              <w:spacing w:after="0"/>
              <w:rPr>
                <w:rFonts w:ascii="Calibri" w:hAnsi="Calibri" w:cs="Calibri"/>
                <w:sz w:val="24"/>
                <w:szCs w:val="24"/>
              </w:rPr>
            </w:pPr>
          </w:p>
        </w:tc>
        <w:tc>
          <w:tcPr>
            <w:tcW w:w="4085" w:type="dxa"/>
            <w:vAlign w:val="center"/>
          </w:tcPr>
          <w:p w14:paraId="3CECCA97" w14:textId="77777777" w:rsidR="008D68E0" w:rsidRPr="0092413A" w:rsidRDefault="008D68E0">
            <w:pPr>
              <w:spacing w:after="0"/>
              <w:rPr>
                <w:rFonts w:ascii="Calibri" w:hAnsi="Calibri" w:cs="Calibri"/>
                <w:sz w:val="24"/>
                <w:szCs w:val="24"/>
              </w:rPr>
            </w:pPr>
          </w:p>
        </w:tc>
      </w:tr>
      <w:tr w:rsidR="00B73D9E" w:rsidRPr="0092413A" w14:paraId="49360F95" w14:textId="77777777">
        <w:trPr>
          <w:jc w:val="center"/>
        </w:trPr>
        <w:tc>
          <w:tcPr>
            <w:tcW w:w="3835" w:type="dxa"/>
            <w:vAlign w:val="center"/>
          </w:tcPr>
          <w:p w14:paraId="16C93AA2" w14:textId="77777777" w:rsidR="008D68E0" w:rsidRPr="0092413A" w:rsidRDefault="00000000">
            <w:pPr>
              <w:spacing w:after="0"/>
              <w:rPr>
                <w:rFonts w:ascii="Calibri" w:hAnsi="Calibri" w:cs="Calibri"/>
                <w:sz w:val="24"/>
                <w:szCs w:val="24"/>
              </w:rPr>
            </w:pPr>
            <w:r w:rsidRPr="0092413A">
              <w:rPr>
                <w:rFonts w:ascii="Calibri" w:hAnsi="Calibri" w:cs="Calibri"/>
                <w:b/>
                <w:sz w:val="24"/>
                <w:szCs w:val="24"/>
              </w:rPr>
              <w:t>Team skills</w:t>
            </w:r>
          </w:p>
          <w:p w14:paraId="40DB2069" w14:textId="77777777" w:rsidR="008D68E0" w:rsidRPr="0092413A" w:rsidRDefault="00000000">
            <w:pPr>
              <w:spacing w:after="0"/>
              <w:rPr>
                <w:rFonts w:ascii="Calibri" w:hAnsi="Calibri" w:cs="Calibri"/>
                <w:sz w:val="24"/>
                <w:szCs w:val="24"/>
              </w:rPr>
            </w:pPr>
            <w:r w:rsidRPr="0092413A">
              <w:rPr>
                <w:rFonts w:ascii="Calibri" w:hAnsi="Calibri" w:cs="Calibri"/>
                <w:sz w:val="24"/>
                <w:szCs w:val="24"/>
              </w:rPr>
              <w:t>Specific technical skills, technologies, certifications, and proficiency levels available within the proposed team</w:t>
            </w:r>
          </w:p>
        </w:tc>
        <w:tc>
          <w:tcPr>
            <w:tcW w:w="2150" w:type="dxa"/>
            <w:vAlign w:val="center"/>
          </w:tcPr>
          <w:p w14:paraId="31772188" w14:textId="77777777" w:rsidR="008D68E0" w:rsidRPr="0092413A" w:rsidRDefault="008D68E0">
            <w:pPr>
              <w:spacing w:after="0"/>
              <w:rPr>
                <w:rFonts w:ascii="Calibri" w:hAnsi="Calibri" w:cs="Calibri"/>
                <w:sz w:val="24"/>
                <w:szCs w:val="24"/>
              </w:rPr>
            </w:pPr>
          </w:p>
        </w:tc>
        <w:tc>
          <w:tcPr>
            <w:tcW w:w="4085" w:type="dxa"/>
            <w:vAlign w:val="center"/>
          </w:tcPr>
          <w:p w14:paraId="424E1986" w14:textId="77777777" w:rsidR="008D68E0" w:rsidRPr="0092413A" w:rsidRDefault="008D68E0">
            <w:pPr>
              <w:spacing w:after="0"/>
              <w:rPr>
                <w:rFonts w:ascii="Calibri" w:hAnsi="Calibri" w:cs="Calibri"/>
                <w:sz w:val="24"/>
                <w:szCs w:val="24"/>
              </w:rPr>
            </w:pPr>
          </w:p>
        </w:tc>
      </w:tr>
      <w:tr w:rsidR="00B73D9E" w:rsidRPr="0092413A" w14:paraId="00A8F713" w14:textId="77777777">
        <w:trPr>
          <w:jc w:val="center"/>
        </w:trPr>
        <w:tc>
          <w:tcPr>
            <w:tcW w:w="3835" w:type="dxa"/>
            <w:vAlign w:val="center"/>
          </w:tcPr>
          <w:p w14:paraId="3A00A22B" w14:textId="77777777" w:rsidR="008D68E0" w:rsidRPr="0092413A" w:rsidRDefault="00000000">
            <w:pPr>
              <w:spacing w:after="0"/>
              <w:rPr>
                <w:rFonts w:ascii="Calibri" w:hAnsi="Calibri" w:cs="Calibri"/>
                <w:sz w:val="24"/>
                <w:szCs w:val="24"/>
              </w:rPr>
            </w:pPr>
            <w:r w:rsidRPr="0092413A">
              <w:rPr>
                <w:rFonts w:ascii="Calibri" w:hAnsi="Calibri" w:cs="Calibri"/>
                <w:b/>
                <w:sz w:val="24"/>
                <w:szCs w:val="24"/>
              </w:rPr>
              <w:lastRenderedPageBreak/>
              <w:t>Front-end / back-end developing tools</w:t>
            </w:r>
          </w:p>
          <w:p w14:paraId="455A19B2" w14:textId="77777777" w:rsidR="008D68E0" w:rsidRPr="0092413A" w:rsidRDefault="00000000">
            <w:pPr>
              <w:spacing w:after="0"/>
              <w:rPr>
                <w:rFonts w:ascii="Calibri" w:hAnsi="Calibri" w:cs="Calibri"/>
                <w:sz w:val="24"/>
                <w:szCs w:val="24"/>
              </w:rPr>
            </w:pPr>
            <w:r w:rsidRPr="0092413A">
              <w:rPr>
                <w:rFonts w:ascii="Calibri" w:hAnsi="Calibri" w:cs="Calibri"/>
                <w:sz w:val="24"/>
                <w:szCs w:val="24"/>
              </w:rPr>
              <w:t>Front-end and back-end development tools, frameworks, and libraries proposed, with versions</w:t>
            </w:r>
          </w:p>
        </w:tc>
        <w:tc>
          <w:tcPr>
            <w:tcW w:w="2150" w:type="dxa"/>
            <w:vAlign w:val="center"/>
          </w:tcPr>
          <w:p w14:paraId="2C98A5D8" w14:textId="77777777" w:rsidR="008D68E0" w:rsidRPr="0092413A" w:rsidRDefault="008D68E0">
            <w:pPr>
              <w:spacing w:after="0"/>
              <w:rPr>
                <w:rFonts w:ascii="Calibri" w:hAnsi="Calibri" w:cs="Calibri"/>
                <w:sz w:val="24"/>
                <w:szCs w:val="24"/>
              </w:rPr>
            </w:pPr>
          </w:p>
        </w:tc>
        <w:tc>
          <w:tcPr>
            <w:tcW w:w="4085" w:type="dxa"/>
            <w:vAlign w:val="center"/>
          </w:tcPr>
          <w:p w14:paraId="771F23AF" w14:textId="77777777" w:rsidR="008D68E0" w:rsidRPr="0092413A" w:rsidRDefault="008D68E0">
            <w:pPr>
              <w:spacing w:after="0"/>
              <w:rPr>
                <w:rFonts w:ascii="Calibri" w:hAnsi="Calibri" w:cs="Calibri"/>
                <w:sz w:val="24"/>
                <w:szCs w:val="24"/>
              </w:rPr>
            </w:pPr>
          </w:p>
        </w:tc>
      </w:tr>
      <w:tr w:rsidR="00B73D9E" w:rsidRPr="0092413A" w14:paraId="57617FE8" w14:textId="77777777">
        <w:trPr>
          <w:jc w:val="center"/>
        </w:trPr>
        <w:tc>
          <w:tcPr>
            <w:tcW w:w="3835" w:type="dxa"/>
            <w:vAlign w:val="center"/>
          </w:tcPr>
          <w:p w14:paraId="6D1B492D" w14:textId="77777777" w:rsidR="008D68E0" w:rsidRPr="0092413A" w:rsidRDefault="00000000">
            <w:pPr>
              <w:spacing w:after="0"/>
              <w:rPr>
                <w:rFonts w:ascii="Calibri" w:hAnsi="Calibri" w:cs="Calibri"/>
                <w:sz w:val="24"/>
                <w:szCs w:val="24"/>
              </w:rPr>
            </w:pPr>
            <w:r w:rsidRPr="0092413A">
              <w:rPr>
                <w:rFonts w:ascii="Calibri" w:hAnsi="Calibri" w:cs="Calibri"/>
                <w:b/>
                <w:sz w:val="24"/>
                <w:szCs w:val="24"/>
              </w:rPr>
              <w:t>Database</w:t>
            </w:r>
          </w:p>
          <w:p w14:paraId="4AD322CF" w14:textId="77777777" w:rsidR="008D68E0" w:rsidRPr="0092413A" w:rsidRDefault="00000000">
            <w:pPr>
              <w:spacing w:after="0"/>
              <w:rPr>
                <w:rFonts w:ascii="Calibri" w:hAnsi="Calibri" w:cs="Calibri"/>
                <w:sz w:val="24"/>
                <w:szCs w:val="24"/>
              </w:rPr>
            </w:pPr>
            <w:r w:rsidRPr="0092413A">
              <w:rPr>
                <w:rFonts w:ascii="Calibri" w:hAnsi="Calibri" w:cs="Calibri"/>
                <w:sz w:val="24"/>
                <w:szCs w:val="24"/>
              </w:rPr>
              <w:t>Database technology proposed (for example, MySQL, MariaDB, PostgreSQL), with version</w:t>
            </w:r>
          </w:p>
        </w:tc>
        <w:tc>
          <w:tcPr>
            <w:tcW w:w="2150" w:type="dxa"/>
            <w:vAlign w:val="center"/>
          </w:tcPr>
          <w:p w14:paraId="20EB2DF3" w14:textId="77777777" w:rsidR="008D68E0" w:rsidRPr="0092413A" w:rsidRDefault="008D68E0">
            <w:pPr>
              <w:spacing w:after="0"/>
              <w:rPr>
                <w:rFonts w:ascii="Calibri" w:hAnsi="Calibri" w:cs="Calibri"/>
                <w:sz w:val="24"/>
                <w:szCs w:val="24"/>
              </w:rPr>
            </w:pPr>
          </w:p>
        </w:tc>
        <w:tc>
          <w:tcPr>
            <w:tcW w:w="4085" w:type="dxa"/>
            <w:vAlign w:val="center"/>
          </w:tcPr>
          <w:p w14:paraId="794E9971" w14:textId="77777777" w:rsidR="008D68E0" w:rsidRPr="0092413A" w:rsidRDefault="008D68E0">
            <w:pPr>
              <w:spacing w:after="0"/>
              <w:rPr>
                <w:rFonts w:ascii="Calibri" w:hAnsi="Calibri" w:cs="Calibri"/>
                <w:sz w:val="24"/>
                <w:szCs w:val="24"/>
              </w:rPr>
            </w:pPr>
          </w:p>
        </w:tc>
      </w:tr>
      <w:tr w:rsidR="00B73D9E" w:rsidRPr="0092413A" w14:paraId="6466CFF9" w14:textId="77777777">
        <w:trPr>
          <w:jc w:val="center"/>
        </w:trPr>
        <w:tc>
          <w:tcPr>
            <w:tcW w:w="3835" w:type="dxa"/>
            <w:vAlign w:val="center"/>
          </w:tcPr>
          <w:p w14:paraId="5274CADC" w14:textId="77777777" w:rsidR="008D68E0" w:rsidRPr="0092413A" w:rsidRDefault="00000000">
            <w:pPr>
              <w:spacing w:after="0"/>
              <w:rPr>
                <w:rFonts w:ascii="Calibri" w:hAnsi="Calibri" w:cs="Calibri"/>
                <w:sz w:val="24"/>
                <w:szCs w:val="24"/>
              </w:rPr>
            </w:pPr>
            <w:r w:rsidRPr="0092413A">
              <w:rPr>
                <w:rFonts w:ascii="Calibri" w:hAnsi="Calibri" w:cs="Calibri"/>
                <w:b/>
                <w:sz w:val="24"/>
                <w:szCs w:val="24"/>
              </w:rPr>
              <w:t>OS for hosting</w:t>
            </w:r>
          </w:p>
          <w:p w14:paraId="6597431F" w14:textId="77777777" w:rsidR="008D68E0" w:rsidRPr="0092413A" w:rsidRDefault="00000000">
            <w:pPr>
              <w:spacing w:after="0"/>
              <w:rPr>
                <w:rFonts w:ascii="Calibri" w:hAnsi="Calibri" w:cs="Calibri"/>
                <w:sz w:val="24"/>
                <w:szCs w:val="24"/>
              </w:rPr>
            </w:pPr>
            <w:r w:rsidRPr="0092413A">
              <w:rPr>
                <w:rFonts w:ascii="Calibri" w:hAnsi="Calibri" w:cs="Calibri"/>
                <w:sz w:val="24"/>
                <w:szCs w:val="24"/>
              </w:rPr>
              <w:t>Operating system proposed for hosting the website (for example, Linux distribution or Windows Server), with version</w:t>
            </w:r>
          </w:p>
        </w:tc>
        <w:tc>
          <w:tcPr>
            <w:tcW w:w="2150" w:type="dxa"/>
            <w:vAlign w:val="center"/>
          </w:tcPr>
          <w:p w14:paraId="76F6D6FF" w14:textId="77777777" w:rsidR="008D68E0" w:rsidRPr="0092413A" w:rsidRDefault="008D68E0">
            <w:pPr>
              <w:spacing w:after="0"/>
              <w:rPr>
                <w:rFonts w:ascii="Calibri" w:hAnsi="Calibri" w:cs="Calibri"/>
                <w:sz w:val="24"/>
                <w:szCs w:val="24"/>
              </w:rPr>
            </w:pPr>
          </w:p>
        </w:tc>
        <w:tc>
          <w:tcPr>
            <w:tcW w:w="4085" w:type="dxa"/>
            <w:vAlign w:val="center"/>
          </w:tcPr>
          <w:p w14:paraId="76A2F390" w14:textId="77777777" w:rsidR="008D68E0" w:rsidRPr="0092413A" w:rsidRDefault="008D68E0">
            <w:pPr>
              <w:spacing w:after="0"/>
              <w:rPr>
                <w:rFonts w:ascii="Calibri" w:hAnsi="Calibri" w:cs="Calibri"/>
                <w:sz w:val="24"/>
                <w:szCs w:val="24"/>
              </w:rPr>
            </w:pPr>
          </w:p>
        </w:tc>
      </w:tr>
      <w:tr w:rsidR="00B360DA" w:rsidRPr="0092413A" w14:paraId="7C0B66D2" w14:textId="77777777">
        <w:trPr>
          <w:jc w:val="center"/>
        </w:trPr>
        <w:tc>
          <w:tcPr>
            <w:tcW w:w="3835" w:type="dxa"/>
            <w:vAlign w:val="center"/>
          </w:tcPr>
          <w:p w14:paraId="3881839B" w14:textId="4A31D0BE" w:rsidR="00B360DA" w:rsidRPr="0092413A" w:rsidRDefault="00B360DA" w:rsidP="00B360DA">
            <w:pPr>
              <w:spacing w:after="0"/>
              <w:rPr>
                <w:rFonts w:ascii="Calibri" w:hAnsi="Calibri" w:cs="Calibri"/>
                <w:b/>
                <w:sz w:val="24"/>
                <w:szCs w:val="24"/>
              </w:rPr>
            </w:pPr>
            <w:r w:rsidRPr="0092413A">
              <w:rPr>
                <w:rFonts w:ascii="Calibri" w:hAnsi="Calibri" w:cs="Calibri"/>
                <w:b/>
                <w:sz w:val="24"/>
                <w:szCs w:val="24"/>
              </w:rPr>
              <w:t>CMMI level</w:t>
            </w:r>
          </w:p>
        </w:tc>
        <w:tc>
          <w:tcPr>
            <w:tcW w:w="2150" w:type="dxa"/>
            <w:vAlign w:val="center"/>
          </w:tcPr>
          <w:p w14:paraId="5BA29890" w14:textId="77777777" w:rsidR="00B360DA" w:rsidRPr="0092413A" w:rsidRDefault="00B360DA" w:rsidP="00B360DA">
            <w:pPr>
              <w:spacing w:after="0"/>
              <w:rPr>
                <w:rFonts w:ascii="Calibri" w:hAnsi="Calibri" w:cs="Calibri"/>
                <w:sz w:val="24"/>
                <w:szCs w:val="24"/>
              </w:rPr>
            </w:pPr>
          </w:p>
        </w:tc>
        <w:tc>
          <w:tcPr>
            <w:tcW w:w="4085" w:type="dxa"/>
            <w:vAlign w:val="center"/>
          </w:tcPr>
          <w:p w14:paraId="07C3C28E" w14:textId="77777777" w:rsidR="00B360DA" w:rsidRPr="0092413A" w:rsidRDefault="00B360DA" w:rsidP="00B360DA">
            <w:pPr>
              <w:spacing w:after="0"/>
              <w:rPr>
                <w:rFonts w:ascii="Calibri" w:hAnsi="Calibri" w:cs="Calibri"/>
                <w:sz w:val="24"/>
                <w:szCs w:val="24"/>
              </w:rPr>
            </w:pPr>
          </w:p>
        </w:tc>
      </w:tr>
      <w:tr w:rsidR="00B360DA" w:rsidRPr="0092413A" w14:paraId="30503547" w14:textId="77777777">
        <w:trPr>
          <w:jc w:val="center"/>
        </w:trPr>
        <w:tc>
          <w:tcPr>
            <w:tcW w:w="3835" w:type="dxa"/>
            <w:vAlign w:val="center"/>
          </w:tcPr>
          <w:p w14:paraId="1EEDD8ED" w14:textId="7421DAC4" w:rsidR="00B360DA" w:rsidRPr="0092413A" w:rsidRDefault="00B360DA" w:rsidP="00B360DA">
            <w:pPr>
              <w:spacing w:after="0"/>
              <w:rPr>
                <w:rFonts w:ascii="Calibri" w:hAnsi="Calibri" w:cs="Calibri"/>
                <w:b/>
                <w:sz w:val="24"/>
                <w:szCs w:val="24"/>
              </w:rPr>
            </w:pPr>
            <w:r w:rsidRPr="0092413A">
              <w:rPr>
                <w:rFonts w:ascii="Calibri" w:hAnsi="Calibri" w:cs="Calibri"/>
                <w:b/>
                <w:sz w:val="24"/>
                <w:szCs w:val="24"/>
              </w:rPr>
              <w:t>ISO certification</w:t>
            </w:r>
          </w:p>
        </w:tc>
        <w:tc>
          <w:tcPr>
            <w:tcW w:w="2150" w:type="dxa"/>
            <w:vAlign w:val="center"/>
          </w:tcPr>
          <w:p w14:paraId="25A7AEE7" w14:textId="77777777" w:rsidR="00B360DA" w:rsidRPr="0092413A" w:rsidRDefault="00B360DA" w:rsidP="00B360DA">
            <w:pPr>
              <w:spacing w:after="0"/>
              <w:rPr>
                <w:rFonts w:ascii="Calibri" w:hAnsi="Calibri" w:cs="Calibri"/>
                <w:sz w:val="24"/>
                <w:szCs w:val="24"/>
              </w:rPr>
            </w:pPr>
          </w:p>
        </w:tc>
        <w:tc>
          <w:tcPr>
            <w:tcW w:w="4085" w:type="dxa"/>
            <w:vAlign w:val="center"/>
          </w:tcPr>
          <w:p w14:paraId="2CED8D3D" w14:textId="77777777" w:rsidR="00B360DA" w:rsidRPr="0092413A" w:rsidRDefault="00B360DA" w:rsidP="00B360DA">
            <w:pPr>
              <w:spacing w:after="0"/>
              <w:rPr>
                <w:rFonts w:ascii="Calibri" w:hAnsi="Calibri" w:cs="Calibri"/>
                <w:sz w:val="24"/>
                <w:szCs w:val="24"/>
              </w:rPr>
            </w:pPr>
          </w:p>
        </w:tc>
      </w:tr>
    </w:tbl>
    <w:p w14:paraId="57457C9D" w14:textId="77777777" w:rsidR="00B73D9E" w:rsidRPr="0092413A" w:rsidRDefault="00B73D9E">
      <w:pPr>
        <w:rPr>
          <w:rFonts w:ascii="Calibri" w:hAnsi="Calibri" w:cs="Calibri"/>
          <w:sz w:val="24"/>
          <w:szCs w:val="24"/>
        </w:rPr>
      </w:pPr>
    </w:p>
    <w:p w14:paraId="1FCA883A" w14:textId="77777777" w:rsidR="00B73D9E" w:rsidRPr="0092413A" w:rsidRDefault="00000000">
      <w:pPr>
        <w:pStyle w:val="Heading2"/>
        <w:spacing w:before="160" w:after="80"/>
        <w:rPr>
          <w:rFonts w:ascii="Calibri" w:hAnsi="Calibri" w:cs="Calibri"/>
          <w:szCs w:val="24"/>
        </w:rPr>
      </w:pPr>
      <w:r w:rsidRPr="0092413A">
        <w:rPr>
          <w:rFonts w:ascii="Calibri" w:hAnsi="Calibri" w:cs="Calibri"/>
          <w:szCs w:val="24"/>
        </w:rPr>
        <w:t>6.2 Financial Proposal</w:t>
      </w:r>
    </w:p>
    <w:p w14:paraId="37D8CFD8" w14:textId="77777777" w:rsidR="00B73D9E" w:rsidRPr="0092413A" w:rsidRDefault="00000000">
      <w:pPr>
        <w:rPr>
          <w:rFonts w:ascii="Calibri" w:hAnsi="Calibri" w:cs="Calibri"/>
          <w:sz w:val="24"/>
          <w:szCs w:val="24"/>
        </w:rPr>
      </w:pPr>
      <w:r w:rsidRPr="0092413A">
        <w:rPr>
          <w:rFonts w:ascii="Calibri" w:hAnsi="Calibri" w:cs="Calibri"/>
          <w:sz w:val="24"/>
          <w:szCs w:val="24"/>
        </w:rPr>
        <w:t>The financial proposal must be submitted in the prescribed Annexure A format and must include a clear cost breakdown. Costs must be quoted separately for one-time development work, recurring costs, third-party tools/licenses, hosting, and AMC.</w:t>
      </w:r>
    </w:p>
    <w:p w14:paraId="13AA62D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Design and development cost</w:t>
      </w:r>
    </w:p>
    <w:p w14:paraId="0A9EB5F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creation/</w:t>
      </w:r>
      <w:proofErr w:type="spellStart"/>
      <w:r w:rsidRPr="0092413A">
        <w:rPr>
          <w:rFonts w:ascii="Calibri" w:hAnsi="Calibri" w:cs="Calibri"/>
          <w:sz w:val="24"/>
          <w:szCs w:val="24"/>
        </w:rPr>
        <w:t>updation</w:t>
      </w:r>
      <w:proofErr w:type="spellEnd"/>
      <w:r w:rsidRPr="0092413A">
        <w:rPr>
          <w:rFonts w:ascii="Calibri" w:hAnsi="Calibri" w:cs="Calibri"/>
          <w:sz w:val="24"/>
          <w:szCs w:val="24"/>
        </w:rPr>
        <w:t xml:space="preserve"> cost, if applicable</w:t>
      </w:r>
    </w:p>
    <w:p w14:paraId="05B86343"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Content migration cost with assumptions</w:t>
      </w:r>
    </w:p>
    <w:p w14:paraId="0DC4A53C"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SEO/AEO/GEO cost, if applicable</w:t>
      </w:r>
    </w:p>
    <w:p w14:paraId="4C03A27F"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Hosting and infrastructure cost</w:t>
      </w:r>
    </w:p>
    <w:p w14:paraId="427DC8B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Security, backup, and monitoring cost</w:t>
      </w:r>
    </w:p>
    <w:p w14:paraId="6E89E18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Annual maintenance/support charges with defined scope</w:t>
      </w:r>
    </w:p>
    <w:p w14:paraId="3A9D0794"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Any third-party tool/plugin/license costs</w:t>
      </w:r>
    </w:p>
    <w:p w14:paraId="35387A07"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Optional multilingual content support cost</w:t>
      </w:r>
    </w:p>
    <w:p w14:paraId="52AE4066"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Optional international payment gateway/back-up gateway integration cost</w:t>
      </w:r>
    </w:p>
    <w:p w14:paraId="01E96B71"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Payment terms and schedule</w:t>
      </w:r>
    </w:p>
    <w:p w14:paraId="72CB6E1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Taxes, if applicable</w:t>
      </w:r>
    </w:p>
    <w:p w14:paraId="014C6B37"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7. Submission Guidelines</w:t>
      </w:r>
    </w:p>
    <w:tbl>
      <w:tblPr>
        <w:tblStyle w:val="TableGrid"/>
        <w:tblW w:w="0" w:type="auto"/>
        <w:jc w:val="center"/>
        <w:tblLook w:val="04A0" w:firstRow="1" w:lastRow="0" w:firstColumn="1" w:lastColumn="0" w:noHBand="0" w:noVBand="1"/>
      </w:tblPr>
      <w:tblGrid>
        <w:gridCol w:w="3284"/>
        <w:gridCol w:w="6786"/>
      </w:tblGrid>
      <w:tr w:rsidR="00B73D9E" w:rsidRPr="0092413A" w14:paraId="5FAD8250" w14:textId="77777777">
        <w:trPr>
          <w:jc w:val="center"/>
        </w:trPr>
        <w:tc>
          <w:tcPr>
            <w:tcW w:w="3600" w:type="dxa"/>
            <w:shd w:val="clear" w:color="auto" w:fill="1F4E79"/>
            <w:vAlign w:val="center"/>
          </w:tcPr>
          <w:p w14:paraId="6BB9E030"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Particulars</w:t>
            </w:r>
          </w:p>
        </w:tc>
        <w:tc>
          <w:tcPr>
            <w:tcW w:w="7488" w:type="dxa"/>
            <w:shd w:val="clear" w:color="auto" w:fill="1F4E79"/>
            <w:vAlign w:val="center"/>
          </w:tcPr>
          <w:p w14:paraId="54DA8F04"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Details</w:t>
            </w:r>
          </w:p>
        </w:tc>
      </w:tr>
      <w:tr w:rsidR="00B73D9E" w:rsidRPr="0092413A" w14:paraId="51C8FEE6" w14:textId="77777777">
        <w:trPr>
          <w:jc w:val="center"/>
        </w:trPr>
        <w:tc>
          <w:tcPr>
            <w:tcW w:w="3600" w:type="dxa"/>
            <w:vAlign w:val="center"/>
          </w:tcPr>
          <w:p w14:paraId="1E6D2C8D"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Proposal Submission Deadline</w:t>
            </w:r>
          </w:p>
        </w:tc>
        <w:tc>
          <w:tcPr>
            <w:tcW w:w="7488" w:type="dxa"/>
            <w:vAlign w:val="center"/>
          </w:tcPr>
          <w:p w14:paraId="5D52EFDE"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19-06-2026</w:t>
            </w:r>
          </w:p>
        </w:tc>
      </w:tr>
      <w:tr w:rsidR="00B73D9E" w:rsidRPr="0092413A" w14:paraId="2026AF57" w14:textId="77777777">
        <w:trPr>
          <w:jc w:val="center"/>
        </w:trPr>
        <w:tc>
          <w:tcPr>
            <w:tcW w:w="3600" w:type="dxa"/>
            <w:vAlign w:val="center"/>
          </w:tcPr>
          <w:p w14:paraId="26E7A2EF"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lastRenderedPageBreak/>
              <w:t>Email ID for RFP Submission</w:t>
            </w:r>
          </w:p>
        </w:tc>
        <w:tc>
          <w:tcPr>
            <w:tcW w:w="7488" w:type="dxa"/>
            <w:vAlign w:val="center"/>
          </w:tcPr>
          <w:p w14:paraId="1F627B73"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e-bid@thfmail.com</w:t>
            </w:r>
          </w:p>
        </w:tc>
      </w:tr>
      <w:tr w:rsidR="00B73D9E" w:rsidRPr="0092413A" w14:paraId="0E1B891B" w14:textId="77777777">
        <w:trPr>
          <w:jc w:val="center"/>
        </w:trPr>
        <w:tc>
          <w:tcPr>
            <w:tcW w:w="3600" w:type="dxa"/>
            <w:vAlign w:val="center"/>
          </w:tcPr>
          <w:p w14:paraId="072157CD"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Subject Line for Submission</w:t>
            </w:r>
          </w:p>
        </w:tc>
        <w:tc>
          <w:tcPr>
            <w:tcW w:w="7488" w:type="dxa"/>
            <w:vAlign w:val="center"/>
          </w:tcPr>
          <w:p w14:paraId="253219FB"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Technical and Financial Proposal for Website Redesign and Development</w:t>
            </w:r>
          </w:p>
        </w:tc>
      </w:tr>
      <w:tr w:rsidR="00B73D9E" w:rsidRPr="0092413A" w14:paraId="526D6FCF" w14:textId="77777777">
        <w:trPr>
          <w:jc w:val="center"/>
        </w:trPr>
        <w:tc>
          <w:tcPr>
            <w:tcW w:w="3600" w:type="dxa"/>
            <w:vAlign w:val="center"/>
          </w:tcPr>
          <w:p w14:paraId="516778E5"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Email ID for Submission</w:t>
            </w:r>
          </w:p>
        </w:tc>
        <w:tc>
          <w:tcPr>
            <w:tcW w:w="7488" w:type="dxa"/>
            <w:vAlign w:val="center"/>
          </w:tcPr>
          <w:p w14:paraId="0995C9DA"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e-bid@thfmail.com</w:t>
            </w:r>
          </w:p>
        </w:tc>
      </w:tr>
      <w:tr w:rsidR="00B73D9E" w:rsidRPr="0092413A" w14:paraId="353D4ECF" w14:textId="77777777">
        <w:trPr>
          <w:jc w:val="center"/>
        </w:trPr>
        <w:tc>
          <w:tcPr>
            <w:tcW w:w="3600" w:type="dxa"/>
            <w:vAlign w:val="center"/>
          </w:tcPr>
          <w:p w14:paraId="4B673A34"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Proposal Opening Date</w:t>
            </w:r>
          </w:p>
        </w:tc>
        <w:tc>
          <w:tcPr>
            <w:tcW w:w="7488" w:type="dxa"/>
            <w:vAlign w:val="center"/>
          </w:tcPr>
          <w:p w14:paraId="5230CD35" w14:textId="608A3E90" w:rsidR="00B73D9E" w:rsidRPr="0092413A" w:rsidRDefault="000C7B68">
            <w:pPr>
              <w:spacing w:after="0"/>
              <w:rPr>
                <w:rFonts w:ascii="Calibri" w:hAnsi="Calibri" w:cs="Calibri"/>
                <w:sz w:val="24"/>
                <w:szCs w:val="24"/>
              </w:rPr>
            </w:pPr>
            <w:r>
              <w:rPr>
                <w:rFonts w:ascii="Calibri" w:hAnsi="Calibri" w:cs="Calibri"/>
                <w:sz w:val="24"/>
                <w:szCs w:val="24"/>
              </w:rPr>
              <w:t>15</w:t>
            </w:r>
            <w:r w:rsidR="008A09AF" w:rsidRPr="0092413A">
              <w:rPr>
                <w:rFonts w:ascii="Calibri" w:hAnsi="Calibri" w:cs="Calibri"/>
                <w:sz w:val="24"/>
                <w:szCs w:val="24"/>
              </w:rPr>
              <w:t>-0</w:t>
            </w:r>
            <w:r>
              <w:rPr>
                <w:rFonts w:ascii="Calibri" w:hAnsi="Calibri" w:cs="Calibri"/>
                <w:sz w:val="24"/>
                <w:szCs w:val="24"/>
              </w:rPr>
              <w:t>7</w:t>
            </w:r>
            <w:r w:rsidR="008A09AF" w:rsidRPr="0092413A">
              <w:rPr>
                <w:rFonts w:ascii="Calibri" w:hAnsi="Calibri" w:cs="Calibri"/>
                <w:sz w:val="24"/>
                <w:szCs w:val="24"/>
              </w:rPr>
              <w:t>-2026</w:t>
            </w:r>
          </w:p>
        </w:tc>
      </w:tr>
      <w:tr w:rsidR="00B73D9E" w:rsidRPr="0092413A" w14:paraId="54FB1D10" w14:textId="77777777">
        <w:trPr>
          <w:jc w:val="center"/>
        </w:trPr>
        <w:tc>
          <w:tcPr>
            <w:tcW w:w="3600" w:type="dxa"/>
            <w:vAlign w:val="center"/>
          </w:tcPr>
          <w:p w14:paraId="0C052BE7"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Meeting Link</w:t>
            </w:r>
          </w:p>
        </w:tc>
        <w:tc>
          <w:tcPr>
            <w:tcW w:w="7488" w:type="dxa"/>
            <w:vAlign w:val="center"/>
          </w:tcPr>
          <w:p w14:paraId="3D71E215"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Will be shared later</w:t>
            </w:r>
          </w:p>
        </w:tc>
      </w:tr>
      <w:tr w:rsidR="00B73D9E" w:rsidRPr="0092413A" w14:paraId="673184AD" w14:textId="77777777">
        <w:trPr>
          <w:jc w:val="center"/>
        </w:trPr>
        <w:tc>
          <w:tcPr>
            <w:tcW w:w="3600" w:type="dxa"/>
            <w:vAlign w:val="center"/>
          </w:tcPr>
          <w:p w14:paraId="4096DC0F"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Submission Format</w:t>
            </w:r>
          </w:p>
        </w:tc>
        <w:tc>
          <w:tcPr>
            <w:tcW w:w="7488" w:type="dxa"/>
            <w:vAlign w:val="center"/>
          </w:tcPr>
          <w:p w14:paraId="7684FED7" w14:textId="6C48CB28" w:rsidR="00B73D9E" w:rsidRPr="000C7B68" w:rsidRDefault="00000000">
            <w:pPr>
              <w:spacing w:after="0"/>
              <w:rPr>
                <w:rFonts w:ascii="Calibri" w:hAnsi="Calibri" w:cs="Calibri"/>
                <w:b/>
                <w:bCs/>
                <w:sz w:val="24"/>
                <w:szCs w:val="24"/>
                <w:highlight w:val="yellow"/>
              </w:rPr>
            </w:pPr>
            <w:r w:rsidRPr="000C7B68">
              <w:rPr>
                <w:rFonts w:ascii="Calibri" w:hAnsi="Calibri" w:cs="Calibri"/>
                <w:b/>
                <w:bCs/>
                <w:sz w:val="24"/>
                <w:szCs w:val="24"/>
                <w:highlight w:val="yellow"/>
              </w:rPr>
              <w:t>Technical proposal in Word or PDF format only</w:t>
            </w:r>
            <w:r w:rsidR="000C7B68" w:rsidRPr="000C7B68">
              <w:rPr>
                <w:rFonts w:ascii="Calibri" w:hAnsi="Calibri" w:cs="Calibri"/>
                <w:b/>
                <w:bCs/>
                <w:sz w:val="24"/>
                <w:szCs w:val="24"/>
                <w:highlight w:val="yellow"/>
              </w:rPr>
              <w:t xml:space="preserve"> with Annexure B (without password); Deadline (08-07-2026)</w:t>
            </w:r>
          </w:p>
        </w:tc>
      </w:tr>
      <w:tr w:rsidR="00B73D9E" w:rsidRPr="0092413A" w14:paraId="6C460C60" w14:textId="77777777">
        <w:trPr>
          <w:jc w:val="center"/>
        </w:trPr>
        <w:tc>
          <w:tcPr>
            <w:tcW w:w="3600" w:type="dxa"/>
            <w:vAlign w:val="center"/>
          </w:tcPr>
          <w:p w14:paraId="71BBC360"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Financial Proposal Format</w:t>
            </w:r>
          </w:p>
        </w:tc>
        <w:tc>
          <w:tcPr>
            <w:tcW w:w="7488" w:type="dxa"/>
            <w:vAlign w:val="center"/>
          </w:tcPr>
          <w:p w14:paraId="4B43349B" w14:textId="7B4C8B8A" w:rsidR="00B73D9E" w:rsidRPr="000C7B68" w:rsidRDefault="00000000">
            <w:pPr>
              <w:spacing w:after="0"/>
              <w:rPr>
                <w:rFonts w:ascii="Calibri" w:hAnsi="Calibri" w:cs="Calibri"/>
                <w:b/>
                <w:bCs/>
                <w:sz w:val="24"/>
                <w:szCs w:val="24"/>
                <w:highlight w:val="yellow"/>
              </w:rPr>
            </w:pPr>
            <w:r w:rsidRPr="000C7B68">
              <w:rPr>
                <w:rFonts w:ascii="Calibri" w:hAnsi="Calibri" w:cs="Calibri"/>
                <w:b/>
                <w:bCs/>
                <w:sz w:val="24"/>
                <w:szCs w:val="24"/>
                <w:highlight w:val="yellow"/>
              </w:rPr>
              <w:t>Password-protected Excel file only, as per Annexure A</w:t>
            </w:r>
            <w:r w:rsidR="000C7B68" w:rsidRPr="000C7B68">
              <w:rPr>
                <w:rFonts w:ascii="Calibri" w:hAnsi="Calibri" w:cs="Calibri"/>
                <w:b/>
                <w:bCs/>
                <w:sz w:val="24"/>
                <w:szCs w:val="24"/>
                <w:highlight w:val="yellow"/>
              </w:rPr>
              <w:t xml:space="preserve"> (Password protected); Deadline (15-07-2026)</w:t>
            </w:r>
          </w:p>
        </w:tc>
      </w:tr>
      <w:tr w:rsidR="00B73D9E" w:rsidRPr="0092413A" w14:paraId="67375B16" w14:textId="77777777">
        <w:trPr>
          <w:jc w:val="center"/>
        </w:trPr>
        <w:tc>
          <w:tcPr>
            <w:tcW w:w="3600" w:type="dxa"/>
            <w:vAlign w:val="center"/>
          </w:tcPr>
          <w:p w14:paraId="5655B88F"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Clarification Queries</w:t>
            </w:r>
          </w:p>
        </w:tc>
        <w:tc>
          <w:tcPr>
            <w:tcW w:w="7488" w:type="dxa"/>
            <w:vAlign w:val="center"/>
          </w:tcPr>
          <w:p w14:paraId="31961F31"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Queries must be submitted by email to itsupport@thfmail.com, ankita@thfmail.com, and mahesh@thfmail.com</w:t>
            </w:r>
          </w:p>
        </w:tc>
      </w:tr>
      <w:tr w:rsidR="00B73D9E" w:rsidRPr="0092413A" w14:paraId="1BE7CDAA" w14:textId="77777777">
        <w:trPr>
          <w:jc w:val="center"/>
        </w:trPr>
        <w:tc>
          <w:tcPr>
            <w:tcW w:w="3600" w:type="dxa"/>
            <w:vAlign w:val="center"/>
          </w:tcPr>
          <w:p w14:paraId="51AE5559"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Financial Proposal Opening</w:t>
            </w:r>
          </w:p>
        </w:tc>
        <w:tc>
          <w:tcPr>
            <w:tcW w:w="7488" w:type="dxa"/>
            <w:vAlign w:val="center"/>
          </w:tcPr>
          <w:p w14:paraId="280D28ED"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Financial proposals will only be opened for vendors who qualify in the technical evaluation</w:t>
            </w:r>
          </w:p>
        </w:tc>
      </w:tr>
    </w:tbl>
    <w:p w14:paraId="26C9A3C3" w14:textId="77777777" w:rsidR="00B73D9E" w:rsidRPr="0092413A" w:rsidRDefault="00B73D9E">
      <w:pPr>
        <w:rPr>
          <w:rFonts w:ascii="Calibri" w:hAnsi="Calibri" w:cs="Calibri"/>
          <w:sz w:val="24"/>
          <w:szCs w:val="24"/>
        </w:rPr>
      </w:pPr>
    </w:p>
    <w:p w14:paraId="209C41BD"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8. General Terms and Conditions</w:t>
      </w:r>
    </w:p>
    <w:p w14:paraId="2592B798" w14:textId="77777777" w:rsidR="00B73D9E" w:rsidRPr="0092413A" w:rsidRDefault="00000000">
      <w:pPr>
        <w:rPr>
          <w:rFonts w:ascii="Calibri" w:hAnsi="Calibri" w:cs="Calibri"/>
          <w:sz w:val="24"/>
          <w:szCs w:val="24"/>
        </w:rPr>
      </w:pPr>
      <w:r w:rsidRPr="0092413A">
        <w:rPr>
          <w:rFonts w:ascii="Calibri" w:hAnsi="Calibri" w:cs="Calibri"/>
          <w:sz w:val="24"/>
          <w:szCs w:val="24"/>
        </w:rPr>
        <w:t>The following General Terms and Conditions shall apply to this RFP and the assignment awarded under it:</w:t>
      </w:r>
    </w:p>
    <w:p w14:paraId="089A0416"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Confidentiality: </w:t>
      </w:r>
      <w:r w:rsidRPr="0092413A">
        <w:rPr>
          <w:rFonts w:ascii="Calibri" w:hAnsi="Calibri" w:cs="Calibri"/>
          <w:sz w:val="24"/>
          <w:szCs w:val="24"/>
        </w:rPr>
        <w:t>The selected agency must maintain confidentiality of all organizational data, backend credentials, donor-related information, technical details, content strategy, unpublished materials, and website information shared during the assignment.</w:t>
      </w:r>
    </w:p>
    <w:p w14:paraId="179B6682"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NDA Requirement: </w:t>
      </w:r>
      <w:r w:rsidRPr="0092413A">
        <w:rPr>
          <w:rFonts w:ascii="Calibri" w:hAnsi="Calibri" w:cs="Calibri"/>
          <w:sz w:val="24"/>
          <w:szCs w:val="24"/>
        </w:rPr>
        <w:t>Shortlisted vendors may be required to sign a Non-Disclosure Agreement before accessing detailed technical, content, donor, or internal strategy information.</w:t>
      </w:r>
    </w:p>
    <w:p w14:paraId="3FB84AA4"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Ownership and Intellectual Property: </w:t>
      </w:r>
      <w:r w:rsidRPr="0092413A">
        <w:rPr>
          <w:rFonts w:ascii="Calibri" w:hAnsi="Calibri" w:cs="Calibri"/>
          <w:sz w:val="24"/>
          <w:szCs w:val="24"/>
        </w:rPr>
        <w:t>THF will retain ownership of all final website assets, source code, content, designs, documentation, CMS configuration, templates, data structures, and final deliverables created under this assignment.</w:t>
      </w:r>
    </w:p>
    <w:p w14:paraId="1C143F03"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Source Code and Handover: </w:t>
      </w:r>
      <w:r w:rsidRPr="0092413A">
        <w:rPr>
          <w:rFonts w:ascii="Calibri" w:hAnsi="Calibri" w:cs="Calibri"/>
          <w:sz w:val="24"/>
          <w:szCs w:val="24"/>
        </w:rPr>
        <w:t>The agency must hand over complete source code, design files, admin credentials, hosting credentials where applicable, documentation, manuals, licenses, plugin details, access details, and deployment information at the end of the assignment or at any time requested by THF.</w:t>
      </w:r>
    </w:p>
    <w:p w14:paraId="4FC209DD"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Third-Party Tools and Licenses: </w:t>
      </w:r>
      <w:r w:rsidRPr="0092413A">
        <w:rPr>
          <w:rFonts w:ascii="Calibri" w:hAnsi="Calibri" w:cs="Calibri"/>
          <w:sz w:val="24"/>
          <w:szCs w:val="24"/>
        </w:rPr>
        <w:t>All third-party tools, plugins, themes, libraries, images, fonts, APIs, payment integrations, security tools, and software used must be legally licensed, disclosed to THF, and documented with renewal costs and ownership details.</w:t>
      </w:r>
    </w:p>
    <w:p w14:paraId="620150D4"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Data Protection and Privacy: </w:t>
      </w:r>
      <w:r w:rsidRPr="0092413A">
        <w:rPr>
          <w:rFonts w:ascii="Calibri" w:hAnsi="Calibri" w:cs="Calibri"/>
          <w:sz w:val="24"/>
          <w:szCs w:val="24"/>
        </w:rPr>
        <w:t>The agency must follow secure data handling practices and ensure compliance with applicable laws, including the Digital Personal Data Protection Act, 2023, for personal data collected through forms, donations, job applications, inquiries, or integrations.</w:t>
      </w:r>
    </w:p>
    <w:p w14:paraId="6786C448"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lastRenderedPageBreak/>
        <w:t xml:space="preserve">IT Act, 2000 Compliance: </w:t>
      </w:r>
      <w:r w:rsidRPr="0092413A">
        <w:rPr>
          <w:rFonts w:ascii="Calibri" w:hAnsi="Calibri" w:cs="Calibri"/>
          <w:sz w:val="24"/>
          <w:szCs w:val="24"/>
        </w:rPr>
        <w:t>The agency must ensure that the website, its hosting, data handling, electronic records, and security controls comply with the applicable provisions of the Information Technology Act, 2000 and the rules framed thereunder, including reasonable security practices and procedures, secure handling of sensitive personal data, and applicable intermediary and digital security obligations.</w:t>
      </w:r>
    </w:p>
    <w:p w14:paraId="3824F43E"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Accessibility: </w:t>
      </w:r>
      <w:r w:rsidRPr="0092413A">
        <w:rPr>
          <w:rFonts w:ascii="Calibri" w:hAnsi="Calibri" w:cs="Calibri"/>
          <w:sz w:val="24"/>
          <w:szCs w:val="24"/>
        </w:rPr>
        <w:t>The website must comply with WCAG 2.1 Level AA accessibility standards and must be tested for accessibility before go-live.</w:t>
      </w:r>
    </w:p>
    <w:p w14:paraId="7CBAD28D"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Security: </w:t>
      </w:r>
      <w:r w:rsidRPr="0092413A">
        <w:rPr>
          <w:rFonts w:ascii="Calibri" w:hAnsi="Calibri" w:cs="Calibri"/>
          <w:sz w:val="24"/>
          <w:szCs w:val="24"/>
        </w:rPr>
        <w:t>The agency must implement appropriate security controls including secure admin access, form protection, SSL, regular updates, vulnerability prevention, malware protection, backup, and restoration mechanisms.</w:t>
      </w:r>
    </w:p>
    <w:p w14:paraId="262C57DF"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Uptime and Continuity: </w:t>
      </w:r>
      <w:r w:rsidRPr="0092413A">
        <w:rPr>
          <w:rFonts w:ascii="Calibri" w:hAnsi="Calibri" w:cs="Calibri"/>
          <w:sz w:val="24"/>
          <w:szCs w:val="24"/>
        </w:rPr>
        <w:t>The website must meet a minimum monthly uptime commitment of 99.9%, excluding pre-approved scheduled maintenance. The agency must define monitoring, reporting, RTO, and RPO commitments.</w:t>
      </w:r>
    </w:p>
    <w:p w14:paraId="0E33C807"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Warranty: </w:t>
      </w:r>
      <w:r w:rsidRPr="0092413A">
        <w:rPr>
          <w:rFonts w:ascii="Calibri" w:hAnsi="Calibri" w:cs="Calibri"/>
          <w:sz w:val="24"/>
          <w:szCs w:val="24"/>
        </w:rPr>
        <w:t>The agency must provide a minimum 90-day post-launch warranty at no additional cost for bug fixing and correction of issues attributable to the agency’s work.</w:t>
      </w:r>
    </w:p>
    <w:p w14:paraId="738D68FD"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Delay and Penalty Clause: </w:t>
      </w:r>
      <w:r w:rsidRPr="0092413A">
        <w:rPr>
          <w:rFonts w:ascii="Calibri" w:hAnsi="Calibri" w:cs="Calibri"/>
          <w:sz w:val="24"/>
          <w:szCs w:val="24"/>
        </w:rPr>
        <w:t>For delays attributable solely to the agency beyond approved milestones, THF may levy a penalty of 0.5% of the applicable milestone value per week of delay, subject to a maximum cap of 5% of the total project value. This will not apply to delays caused by THF dependencies, delayed approvals, force majeure, or mutually agreed scope changes.</w:t>
      </w:r>
    </w:p>
    <w:p w14:paraId="1301B7CF"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Change Requests: </w:t>
      </w:r>
      <w:r w:rsidRPr="0092413A">
        <w:rPr>
          <w:rFonts w:ascii="Calibri" w:hAnsi="Calibri" w:cs="Calibri"/>
          <w:sz w:val="24"/>
          <w:szCs w:val="24"/>
        </w:rPr>
        <w:t>Any change in scope, new feature, new integration, major design change, or additional work beyond the agreed scope must be documented and approved by THF before execution.</w:t>
      </w:r>
    </w:p>
    <w:p w14:paraId="43F54A74"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Subcontracting: </w:t>
      </w:r>
      <w:r w:rsidRPr="0092413A">
        <w:rPr>
          <w:rFonts w:ascii="Calibri" w:hAnsi="Calibri" w:cs="Calibri"/>
          <w:sz w:val="24"/>
          <w:szCs w:val="24"/>
        </w:rPr>
        <w:t>The agency must not subcontract core work without prior written approval from THF. The agency will remain fully responsible for the quality, confidentiality, and delivery of any subcontracted work.</w:t>
      </w:r>
    </w:p>
    <w:p w14:paraId="34361E35"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Payment Terms: </w:t>
      </w:r>
      <w:r w:rsidRPr="0092413A">
        <w:rPr>
          <w:rFonts w:ascii="Calibri" w:hAnsi="Calibri" w:cs="Calibri"/>
          <w:sz w:val="24"/>
          <w:szCs w:val="24"/>
        </w:rPr>
        <w:t>Payments will be linked to approved milestones and submission of valid invoices. THF reserves the right to withhold payment for incomplete, defective, or non-compliant deliverables until resolved.</w:t>
      </w:r>
    </w:p>
    <w:p w14:paraId="1B319778"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Conflict of Interest: </w:t>
      </w:r>
      <w:r w:rsidRPr="0092413A">
        <w:rPr>
          <w:rFonts w:ascii="Calibri" w:hAnsi="Calibri" w:cs="Calibri"/>
          <w:sz w:val="24"/>
          <w:szCs w:val="24"/>
        </w:rPr>
        <w:t>The agency must disclose any conflict of interest that may affect the assignment or THF’s interests.</w:t>
      </w:r>
    </w:p>
    <w:p w14:paraId="588CA39E"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Termination: </w:t>
      </w:r>
      <w:r w:rsidRPr="0092413A">
        <w:rPr>
          <w:rFonts w:ascii="Calibri" w:hAnsi="Calibri" w:cs="Calibri"/>
          <w:sz w:val="24"/>
          <w:szCs w:val="24"/>
        </w:rPr>
        <w:t>THF reserves the right to terminate the assignment in case of material breach, non-performance, confidentiality breach, repeated delays, poor quality, or failure to comply with agreed terms.</w:t>
      </w:r>
    </w:p>
    <w:p w14:paraId="266DDA1D"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Right to Accept or Reject: </w:t>
      </w:r>
      <w:r w:rsidRPr="0092413A">
        <w:rPr>
          <w:rFonts w:ascii="Calibri" w:hAnsi="Calibri" w:cs="Calibri"/>
          <w:sz w:val="24"/>
          <w:szCs w:val="24"/>
        </w:rPr>
        <w:t>THF reserves the right to accept or reject any proposal, annul the RFP process, or negotiate with selected vendors without assigning any reason.</w:t>
      </w:r>
    </w:p>
    <w:p w14:paraId="5F554BB9" w14:textId="77777777" w:rsidR="00B73D9E" w:rsidRPr="0092413A" w:rsidRDefault="00000000">
      <w:pPr>
        <w:spacing w:after="60"/>
        <w:rPr>
          <w:rFonts w:ascii="Calibri" w:hAnsi="Calibri" w:cs="Calibri"/>
          <w:sz w:val="24"/>
          <w:szCs w:val="24"/>
        </w:rPr>
      </w:pPr>
      <w:r w:rsidRPr="0092413A">
        <w:rPr>
          <w:rFonts w:ascii="Calibri" w:hAnsi="Calibri" w:cs="Calibri"/>
          <w:b/>
          <w:sz w:val="24"/>
          <w:szCs w:val="24"/>
        </w:rPr>
        <w:t xml:space="preserve">Communication of Risks: </w:t>
      </w:r>
      <w:r w:rsidRPr="0092413A">
        <w:rPr>
          <w:rFonts w:ascii="Calibri" w:hAnsi="Calibri" w:cs="Calibri"/>
          <w:sz w:val="24"/>
          <w:szCs w:val="24"/>
        </w:rPr>
        <w:t>Any delays, technical risks, security concerns, dependencies, cost escalations, or delivery risks must be communicated to THF in writing in a timely manner.</w:t>
      </w:r>
    </w:p>
    <w:p w14:paraId="6646D318"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lastRenderedPageBreak/>
        <w:t>9. Evaluation and Scoring Criteria</w:t>
      </w:r>
    </w:p>
    <w:p w14:paraId="461D2638" w14:textId="77777777" w:rsidR="00B73D9E" w:rsidRPr="0092413A" w:rsidRDefault="00000000">
      <w:pPr>
        <w:rPr>
          <w:rFonts w:ascii="Calibri" w:hAnsi="Calibri" w:cs="Calibri"/>
          <w:sz w:val="24"/>
          <w:szCs w:val="24"/>
        </w:rPr>
      </w:pPr>
      <w:r w:rsidRPr="0092413A">
        <w:rPr>
          <w:rFonts w:ascii="Calibri" w:hAnsi="Calibri" w:cs="Calibri"/>
          <w:sz w:val="24"/>
          <w:szCs w:val="24"/>
        </w:rPr>
        <w:t>Vendor selection will be based on a combined technical and financial evaluation. Financial proposals will be opened only for vendors who qualify in the technical evaluation. THF reserves the right to call shortlisted vendors for presentation, discussion, clarification, or negotiation.</w:t>
      </w:r>
    </w:p>
    <w:tbl>
      <w:tblPr>
        <w:tblStyle w:val="TableGrid"/>
        <w:tblW w:w="0" w:type="auto"/>
        <w:jc w:val="center"/>
        <w:tblLook w:val="04A0" w:firstRow="1" w:lastRow="0" w:firstColumn="1" w:lastColumn="0" w:noHBand="0" w:noVBand="1"/>
      </w:tblPr>
      <w:tblGrid>
        <w:gridCol w:w="2569"/>
        <w:gridCol w:w="1637"/>
        <w:gridCol w:w="5864"/>
      </w:tblGrid>
      <w:tr w:rsidR="00B73D9E" w:rsidRPr="0092413A" w14:paraId="54ECE2CE" w14:textId="77777777">
        <w:trPr>
          <w:jc w:val="center"/>
        </w:trPr>
        <w:tc>
          <w:tcPr>
            <w:tcW w:w="2880" w:type="dxa"/>
            <w:shd w:val="clear" w:color="auto" w:fill="1F4E79"/>
            <w:vAlign w:val="center"/>
          </w:tcPr>
          <w:p w14:paraId="67501EC3"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Evaluation Component</w:t>
            </w:r>
          </w:p>
        </w:tc>
        <w:tc>
          <w:tcPr>
            <w:tcW w:w="1728" w:type="dxa"/>
            <w:shd w:val="clear" w:color="auto" w:fill="1F4E79"/>
            <w:vAlign w:val="center"/>
          </w:tcPr>
          <w:p w14:paraId="07B918AD"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Weightage (%)</w:t>
            </w:r>
          </w:p>
        </w:tc>
        <w:tc>
          <w:tcPr>
            <w:tcW w:w="6912" w:type="dxa"/>
            <w:shd w:val="clear" w:color="auto" w:fill="1F4E79"/>
            <w:vAlign w:val="center"/>
          </w:tcPr>
          <w:p w14:paraId="62F465A9" w14:textId="77777777" w:rsidR="00B73D9E" w:rsidRPr="0092413A" w:rsidRDefault="00000000">
            <w:pPr>
              <w:spacing w:after="0"/>
              <w:rPr>
                <w:rFonts w:ascii="Calibri" w:hAnsi="Calibri" w:cs="Calibri"/>
                <w:sz w:val="24"/>
                <w:szCs w:val="24"/>
              </w:rPr>
            </w:pPr>
            <w:r w:rsidRPr="0092413A">
              <w:rPr>
                <w:rFonts w:ascii="Calibri" w:hAnsi="Calibri" w:cs="Calibri"/>
                <w:b/>
                <w:color w:val="FFFFFF"/>
                <w:sz w:val="24"/>
                <w:szCs w:val="24"/>
              </w:rPr>
              <w:t>Indicative Criteria</w:t>
            </w:r>
          </w:p>
        </w:tc>
      </w:tr>
      <w:tr w:rsidR="00B73D9E" w:rsidRPr="0092413A" w14:paraId="5CF33331" w14:textId="77777777">
        <w:trPr>
          <w:jc w:val="center"/>
        </w:trPr>
        <w:tc>
          <w:tcPr>
            <w:tcW w:w="2880" w:type="dxa"/>
            <w:vAlign w:val="center"/>
          </w:tcPr>
          <w:p w14:paraId="1EC5CD95"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Technical Evaluation</w:t>
            </w:r>
          </w:p>
        </w:tc>
        <w:tc>
          <w:tcPr>
            <w:tcW w:w="1728" w:type="dxa"/>
            <w:vAlign w:val="center"/>
          </w:tcPr>
          <w:p w14:paraId="256C9151" w14:textId="39BD55CE" w:rsidR="00B73D9E" w:rsidRPr="0092413A" w:rsidRDefault="000C7B68">
            <w:pPr>
              <w:spacing w:after="0"/>
              <w:rPr>
                <w:rFonts w:ascii="Calibri" w:hAnsi="Calibri" w:cs="Calibri"/>
                <w:sz w:val="24"/>
                <w:szCs w:val="24"/>
              </w:rPr>
            </w:pPr>
            <w:r>
              <w:rPr>
                <w:rFonts w:ascii="Calibri" w:hAnsi="Calibri" w:cs="Calibri"/>
                <w:sz w:val="24"/>
                <w:szCs w:val="24"/>
              </w:rPr>
              <w:t>7</w:t>
            </w:r>
            <w:r w:rsidR="00000000" w:rsidRPr="0092413A">
              <w:rPr>
                <w:rFonts w:ascii="Calibri" w:hAnsi="Calibri" w:cs="Calibri"/>
                <w:sz w:val="24"/>
                <w:szCs w:val="24"/>
              </w:rPr>
              <w:t>0</w:t>
            </w:r>
          </w:p>
        </w:tc>
        <w:tc>
          <w:tcPr>
            <w:tcW w:w="6912" w:type="dxa"/>
            <w:vAlign w:val="center"/>
          </w:tcPr>
          <w:p w14:paraId="510F8F24"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Project understanding and approach; UI/UX and storytelling; CMS and technology stack; security, accessibility, data protection, performance; relevant experience and team; timeline, maintenance, and handover approach.</w:t>
            </w:r>
          </w:p>
        </w:tc>
      </w:tr>
      <w:tr w:rsidR="00B73D9E" w:rsidRPr="0092413A" w14:paraId="0783E9D4" w14:textId="77777777">
        <w:trPr>
          <w:jc w:val="center"/>
        </w:trPr>
        <w:tc>
          <w:tcPr>
            <w:tcW w:w="2880" w:type="dxa"/>
            <w:vAlign w:val="center"/>
          </w:tcPr>
          <w:p w14:paraId="78FFB3D7"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Financial Evaluation</w:t>
            </w:r>
          </w:p>
        </w:tc>
        <w:tc>
          <w:tcPr>
            <w:tcW w:w="1728" w:type="dxa"/>
            <w:vAlign w:val="center"/>
          </w:tcPr>
          <w:p w14:paraId="04A34588" w14:textId="0042ADB4" w:rsidR="00B73D9E" w:rsidRPr="0092413A" w:rsidRDefault="000C7B68">
            <w:pPr>
              <w:spacing w:after="0"/>
              <w:rPr>
                <w:rFonts w:ascii="Calibri" w:hAnsi="Calibri" w:cs="Calibri"/>
                <w:sz w:val="24"/>
                <w:szCs w:val="24"/>
              </w:rPr>
            </w:pPr>
            <w:r>
              <w:rPr>
                <w:rFonts w:ascii="Calibri" w:hAnsi="Calibri" w:cs="Calibri"/>
                <w:sz w:val="24"/>
                <w:szCs w:val="24"/>
              </w:rPr>
              <w:t>3</w:t>
            </w:r>
            <w:r w:rsidR="00000000" w:rsidRPr="0092413A">
              <w:rPr>
                <w:rFonts w:ascii="Calibri" w:hAnsi="Calibri" w:cs="Calibri"/>
                <w:sz w:val="24"/>
                <w:szCs w:val="24"/>
              </w:rPr>
              <w:t>0</w:t>
            </w:r>
          </w:p>
        </w:tc>
        <w:tc>
          <w:tcPr>
            <w:tcW w:w="6912" w:type="dxa"/>
            <w:vAlign w:val="center"/>
          </w:tcPr>
          <w:p w14:paraId="06AF20A4"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Overall cost competitiveness; cost transparency; recurring costs for hosting, licenses, and AMC; value for money; sustainability of proposed solution.</w:t>
            </w:r>
          </w:p>
        </w:tc>
      </w:tr>
      <w:tr w:rsidR="00B73D9E" w:rsidRPr="0092413A" w14:paraId="02F9B3C9" w14:textId="77777777">
        <w:trPr>
          <w:jc w:val="center"/>
        </w:trPr>
        <w:tc>
          <w:tcPr>
            <w:tcW w:w="2880" w:type="dxa"/>
            <w:vAlign w:val="center"/>
          </w:tcPr>
          <w:p w14:paraId="6AAE30F8"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Total</w:t>
            </w:r>
          </w:p>
        </w:tc>
        <w:tc>
          <w:tcPr>
            <w:tcW w:w="1728" w:type="dxa"/>
            <w:vAlign w:val="center"/>
          </w:tcPr>
          <w:p w14:paraId="37999AD2"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100</w:t>
            </w:r>
          </w:p>
        </w:tc>
        <w:tc>
          <w:tcPr>
            <w:tcW w:w="6912" w:type="dxa"/>
            <w:vAlign w:val="center"/>
          </w:tcPr>
          <w:p w14:paraId="1AD54661" w14:textId="77777777" w:rsidR="00B73D9E" w:rsidRPr="0092413A" w:rsidRDefault="00000000">
            <w:pPr>
              <w:spacing w:after="0"/>
              <w:rPr>
                <w:rFonts w:ascii="Calibri" w:hAnsi="Calibri" w:cs="Calibri"/>
                <w:sz w:val="24"/>
                <w:szCs w:val="24"/>
              </w:rPr>
            </w:pPr>
            <w:r w:rsidRPr="0092413A">
              <w:rPr>
                <w:rFonts w:ascii="Calibri" w:hAnsi="Calibri" w:cs="Calibri"/>
                <w:sz w:val="24"/>
                <w:szCs w:val="24"/>
              </w:rPr>
              <w:t>Final selection will be based on the combined score and THF’s assessment of technical suitability, risk, cost, and long-term maintainability.</w:t>
            </w:r>
          </w:p>
        </w:tc>
      </w:tr>
    </w:tbl>
    <w:p w14:paraId="4072D081" w14:textId="77777777" w:rsidR="00B73D9E" w:rsidRPr="0092413A" w:rsidRDefault="00B73D9E">
      <w:pPr>
        <w:rPr>
          <w:rFonts w:ascii="Calibri" w:hAnsi="Calibri" w:cs="Calibri"/>
          <w:sz w:val="24"/>
          <w:szCs w:val="24"/>
        </w:rPr>
      </w:pPr>
    </w:p>
    <w:p w14:paraId="0FB5BE55" w14:textId="77777777"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10. Clarifications</w:t>
      </w:r>
    </w:p>
    <w:p w14:paraId="4A5388B6" w14:textId="77777777" w:rsidR="00B73D9E" w:rsidRPr="0092413A" w:rsidRDefault="00000000">
      <w:pPr>
        <w:rPr>
          <w:rFonts w:ascii="Calibri" w:hAnsi="Calibri" w:cs="Calibri"/>
          <w:sz w:val="24"/>
          <w:szCs w:val="24"/>
        </w:rPr>
      </w:pPr>
      <w:r w:rsidRPr="0092413A">
        <w:rPr>
          <w:rFonts w:ascii="Calibri" w:hAnsi="Calibri" w:cs="Calibri"/>
          <w:sz w:val="24"/>
          <w:szCs w:val="24"/>
        </w:rPr>
        <w:t>Any queries seeking clarification regarding this bid should be submitted to:</w:t>
      </w:r>
    </w:p>
    <w:p w14:paraId="01B0930D"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itsupport@thfmail.com</w:t>
      </w:r>
    </w:p>
    <w:p w14:paraId="6E060088"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ankita@thfmail.com</w:t>
      </w:r>
    </w:p>
    <w:p w14:paraId="774F650E" w14:textId="77777777" w:rsidR="00B73D9E" w:rsidRPr="0092413A" w:rsidRDefault="00000000">
      <w:pPr>
        <w:pStyle w:val="ListBullet"/>
        <w:spacing w:after="60"/>
        <w:rPr>
          <w:rFonts w:ascii="Calibri" w:hAnsi="Calibri" w:cs="Calibri"/>
          <w:sz w:val="24"/>
          <w:szCs w:val="24"/>
        </w:rPr>
      </w:pPr>
      <w:r w:rsidRPr="0092413A">
        <w:rPr>
          <w:rFonts w:ascii="Calibri" w:hAnsi="Calibri" w:cs="Calibri"/>
          <w:sz w:val="24"/>
          <w:szCs w:val="24"/>
        </w:rPr>
        <w:t>mahesh@thfmail.com</w:t>
      </w:r>
    </w:p>
    <w:p w14:paraId="3BE4C066" w14:textId="308D7D85" w:rsidR="00B73D9E" w:rsidRPr="0092413A" w:rsidRDefault="00000000">
      <w:pPr>
        <w:pStyle w:val="Heading1"/>
        <w:spacing w:before="240" w:after="120"/>
        <w:rPr>
          <w:rFonts w:ascii="Calibri" w:hAnsi="Calibri" w:cs="Calibri"/>
          <w:sz w:val="24"/>
          <w:szCs w:val="24"/>
        </w:rPr>
      </w:pPr>
      <w:r w:rsidRPr="0092413A">
        <w:rPr>
          <w:rFonts w:ascii="Calibri" w:hAnsi="Calibri" w:cs="Calibri"/>
          <w:sz w:val="24"/>
          <w:szCs w:val="24"/>
        </w:rPr>
        <w:t>Annexure A: Financial Proposal Format</w:t>
      </w:r>
      <w:r w:rsidR="003F3D85">
        <w:rPr>
          <w:rFonts w:ascii="Calibri" w:hAnsi="Calibri" w:cs="Calibri"/>
          <w:sz w:val="24"/>
          <w:szCs w:val="24"/>
        </w:rPr>
        <w:t xml:space="preserve"> (</w:t>
      </w:r>
      <w:r w:rsidR="003F3D85" w:rsidRPr="003F3D85">
        <w:rPr>
          <w:rFonts w:ascii="Calibri" w:hAnsi="Calibri" w:cs="Calibri"/>
          <w:sz w:val="24"/>
          <w:szCs w:val="24"/>
          <w:highlight w:val="yellow"/>
        </w:rPr>
        <w:t>with Password Protection</w:t>
      </w:r>
      <w:r w:rsidR="003F3D85">
        <w:rPr>
          <w:rFonts w:ascii="Calibri" w:hAnsi="Calibri" w:cs="Calibri"/>
          <w:sz w:val="24"/>
          <w:szCs w:val="24"/>
        </w:rPr>
        <w:t>)</w:t>
      </w:r>
    </w:p>
    <w:p w14:paraId="2B8DDF2D" w14:textId="2E80015F" w:rsidR="000C7B68" w:rsidRPr="0092413A" w:rsidRDefault="00000000">
      <w:pPr>
        <w:rPr>
          <w:rFonts w:ascii="Calibri" w:hAnsi="Calibri" w:cs="Calibri"/>
          <w:sz w:val="24"/>
          <w:szCs w:val="24"/>
        </w:rPr>
      </w:pPr>
      <w:r w:rsidRPr="0092413A">
        <w:rPr>
          <w:rFonts w:ascii="Calibri" w:hAnsi="Calibri" w:cs="Calibri"/>
          <w:sz w:val="24"/>
          <w:szCs w:val="24"/>
        </w:rPr>
        <w:t>Vendors must submit the financial proposal in password-protected Excel format using the following structure. Costs must be quoted in INR and must clearly indicate applicable taxes.</w:t>
      </w:r>
      <w:r w:rsidR="000C7B68">
        <w:rPr>
          <w:rFonts w:ascii="Calibri" w:hAnsi="Calibri" w:cs="Calibri"/>
          <w:sz w:val="24"/>
          <w:szCs w:val="24"/>
        </w:rPr>
        <w:t xml:space="preserve"> Download Annexure A from </w:t>
      </w:r>
      <w:hyperlink r:id="rId8" w:history="1">
        <w:r w:rsidR="000C7B68" w:rsidRPr="003F3D85">
          <w:rPr>
            <w:rStyle w:val="Hyperlink"/>
            <w:rFonts w:ascii="Calibri" w:hAnsi="Calibri" w:cs="Calibri"/>
            <w:sz w:val="24"/>
            <w:szCs w:val="24"/>
          </w:rPr>
          <w:t>here.</w:t>
        </w:r>
      </w:hyperlink>
      <w:r w:rsidR="000C7B68">
        <w:rPr>
          <w:rFonts w:ascii="Calibri" w:hAnsi="Calibri" w:cs="Calibri"/>
          <w:sz w:val="24"/>
          <w:szCs w:val="24"/>
        </w:rPr>
        <w:t xml:space="preserve"> </w:t>
      </w:r>
    </w:p>
    <w:p w14:paraId="48BA4947" w14:textId="58C8BBB8" w:rsidR="00B73D9E" w:rsidRDefault="00FE0B60" w:rsidP="00FE0B60">
      <w:pPr>
        <w:pStyle w:val="Heading1"/>
        <w:spacing w:before="240" w:after="120"/>
        <w:rPr>
          <w:rFonts w:ascii="Calibri" w:hAnsi="Calibri" w:cs="Calibri"/>
          <w:sz w:val="24"/>
          <w:szCs w:val="24"/>
        </w:rPr>
      </w:pPr>
      <w:r w:rsidRPr="0092413A">
        <w:rPr>
          <w:rFonts w:ascii="Calibri" w:hAnsi="Calibri" w:cs="Calibri"/>
          <w:sz w:val="24"/>
          <w:szCs w:val="24"/>
        </w:rPr>
        <w:t>Annexure B: Checklist for Technical Proposal</w:t>
      </w:r>
      <w:r w:rsidR="000C7B68">
        <w:rPr>
          <w:rFonts w:ascii="Calibri" w:hAnsi="Calibri" w:cs="Calibri"/>
          <w:sz w:val="24"/>
          <w:szCs w:val="24"/>
        </w:rPr>
        <w:t xml:space="preserve"> </w:t>
      </w:r>
      <w:r w:rsidR="003F3D85" w:rsidRPr="003F3D85">
        <w:rPr>
          <w:rFonts w:ascii="Calibri" w:hAnsi="Calibri" w:cs="Calibri"/>
          <w:sz w:val="24"/>
          <w:szCs w:val="24"/>
          <w:highlight w:val="yellow"/>
        </w:rPr>
        <w:t>(To be duly filled and shared along with the Technical Proposal)</w:t>
      </w:r>
    </w:p>
    <w:p w14:paraId="217304AF" w14:textId="36C2FEB4" w:rsidR="000C7B68" w:rsidRPr="000C7B68" w:rsidRDefault="000C7B68" w:rsidP="000C7B68">
      <w:pPr>
        <w:rPr>
          <w:rFonts w:ascii="Calibri" w:hAnsi="Calibri" w:cs="Calibri"/>
          <w:sz w:val="24"/>
          <w:szCs w:val="24"/>
        </w:rPr>
      </w:pPr>
      <w:r w:rsidRPr="000C7B68">
        <w:rPr>
          <w:rFonts w:ascii="Calibri" w:hAnsi="Calibri" w:cs="Calibri"/>
          <w:sz w:val="24"/>
          <w:szCs w:val="24"/>
        </w:rPr>
        <w:t xml:space="preserve">Download Annexure B from </w:t>
      </w:r>
      <w:hyperlink r:id="rId9" w:history="1">
        <w:r w:rsidRPr="00761032">
          <w:rPr>
            <w:rStyle w:val="Hyperlink"/>
            <w:rFonts w:ascii="Calibri" w:hAnsi="Calibri" w:cs="Calibri"/>
            <w:sz w:val="24"/>
            <w:szCs w:val="24"/>
          </w:rPr>
          <w:t>here.</w:t>
        </w:r>
      </w:hyperlink>
    </w:p>
    <w:sectPr w:rsidR="000C7B68" w:rsidRPr="000C7B68">
      <w:headerReference w:type="default" r:id="rId10"/>
      <w:footerReference w:type="default" r:id="rId11"/>
      <w:pgSz w:w="12240" w:h="15840"/>
      <w:pgMar w:top="1008" w:right="1080" w:bottom="100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61C4" w14:textId="77777777" w:rsidR="00036AA3" w:rsidRDefault="00036AA3">
      <w:pPr>
        <w:spacing w:after="0" w:line="240" w:lineRule="auto"/>
      </w:pPr>
      <w:r>
        <w:separator/>
      </w:r>
    </w:p>
  </w:endnote>
  <w:endnote w:type="continuationSeparator" w:id="0">
    <w:p w14:paraId="3CBC1366" w14:textId="77777777" w:rsidR="00036AA3" w:rsidRDefault="00036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B4BE" w14:textId="77777777" w:rsidR="00B73D9E" w:rsidRDefault="00000000">
    <w:pPr>
      <w:pStyle w:val="Footer"/>
      <w:jc w:val="center"/>
    </w:pPr>
    <w:r>
      <w:rPr>
        <w:color w:val="646464"/>
        <w:sz w:val="16"/>
      </w:rPr>
      <w:t xml:space="preserve">Website Redesign and Development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CF19D" w14:textId="77777777" w:rsidR="00036AA3" w:rsidRDefault="00036AA3">
      <w:pPr>
        <w:spacing w:after="0" w:line="240" w:lineRule="auto"/>
      </w:pPr>
      <w:r>
        <w:separator/>
      </w:r>
    </w:p>
  </w:footnote>
  <w:footnote w:type="continuationSeparator" w:id="0">
    <w:p w14:paraId="5813E5BF" w14:textId="77777777" w:rsidR="00036AA3" w:rsidRDefault="00036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45D44" w14:textId="77777777" w:rsidR="00B73D9E" w:rsidRPr="008A09AF" w:rsidRDefault="008A09AF" w:rsidP="008A09AF">
    <w:pPr>
      <w:pStyle w:val="Header"/>
      <w:jc w:val="right"/>
    </w:pPr>
    <w:r>
      <w:rPr>
        <w:noProof/>
      </w:rPr>
      <w:drawing>
        <wp:inline distT="0" distB="0" distL="0" distR="0" wp14:anchorId="1CC68145" wp14:editId="0659E765">
          <wp:extent cx="1238250" cy="1041556"/>
          <wp:effectExtent l="0" t="0" r="0" b="6350"/>
          <wp:docPr id="208011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1109" name="Picture 20801109"/>
                  <pic:cNvPicPr/>
                </pic:nvPicPr>
                <pic:blipFill>
                  <a:blip r:embed="rId1"/>
                  <a:stretch>
                    <a:fillRect/>
                  </a:stretch>
                </pic:blipFill>
                <pic:spPr>
                  <a:xfrm>
                    <a:off x="0" y="0"/>
                    <a:ext cx="1238250" cy="10415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AC5EFCB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DACD6D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5026DA"/>
    <w:multiLevelType w:val="multilevel"/>
    <w:tmpl w:val="504E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7279515">
    <w:abstractNumId w:val="8"/>
  </w:num>
  <w:num w:numId="2" w16cid:durableId="11154684">
    <w:abstractNumId w:val="6"/>
  </w:num>
  <w:num w:numId="3" w16cid:durableId="471559689">
    <w:abstractNumId w:val="5"/>
  </w:num>
  <w:num w:numId="4" w16cid:durableId="1218392292">
    <w:abstractNumId w:val="4"/>
  </w:num>
  <w:num w:numId="5" w16cid:durableId="1670982821">
    <w:abstractNumId w:val="7"/>
  </w:num>
  <w:num w:numId="6" w16cid:durableId="337074925">
    <w:abstractNumId w:val="3"/>
  </w:num>
  <w:num w:numId="7" w16cid:durableId="1336572027">
    <w:abstractNumId w:val="2"/>
  </w:num>
  <w:num w:numId="8" w16cid:durableId="971060294">
    <w:abstractNumId w:val="1"/>
  </w:num>
  <w:num w:numId="9" w16cid:durableId="2075622489">
    <w:abstractNumId w:val="0"/>
  </w:num>
  <w:num w:numId="10" w16cid:durableId="10010056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AA3"/>
    <w:rsid w:val="0006063C"/>
    <w:rsid w:val="000C7B68"/>
    <w:rsid w:val="0015074B"/>
    <w:rsid w:val="001857AF"/>
    <w:rsid w:val="00230C09"/>
    <w:rsid w:val="0029133B"/>
    <w:rsid w:val="0029639D"/>
    <w:rsid w:val="002A1A98"/>
    <w:rsid w:val="00301D69"/>
    <w:rsid w:val="00326F90"/>
    <w:rsid w:val="003F3D85"/>
    <w:rsid w:val="0051204C"/>
    <w:rsid w:val="005155B5"/>
    <w:rsid w:val="005A7B33"/>
    <w:rsid w:val="00761032"/>
    <w:rsid w:val="00874113"/>
    <w:rsid w:val="008A09AF"/>
    <w:rsid w:val="008D68E0"/>
    <w:rsid w:val="0092413A"/>
    <w:rsid w:val="00A112C7"/>
    <w:rsid w:val="00A511F6"/>
    <w:rsid w:val="00AA1D8D"/>
    <w:rsid w:val="00AF279A"/>
    <w:rsid w:val="00B360DA"/>
    <w:rsid w:val="00B47730"/>
    <w:rsid w:val="00B7186F"/>
    <w:rsid w:val="00B73D9E"/>
    <w:rsid w:val="00B964E1"/>
    <w:rsid w:val="00CB0664"/>
    <w:rsid w:val="00CD4419"/>
    <w:rsid w:val="00D6167C"/>
    <w:rsid w:val="00E05E30"/>
    <w:rsid w:val="00E47234"/>
    <w:rsid w:val="00F835C0"/>
    <w:rsid w:val="00FC693F"/>
    <w:rsid w:val="00FE0B60"/>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85243B"/>
  <w14:defaultImageDpi w14:val="300"/>
  <w15:docId w15:val="{8B4CFC26-CA27-034E-AB67-8A7C9E21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4E79"/>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4E79"/>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4E79"/>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1857AF"/>
    <w:rPr>
      <w:sz w:val="16"/>
      <w:szCs w:val="16"/>
    </w:rPr>
  </w:style>
  <w:style w:type="paragraph" w:styleId="CommentText">
    <w:name w:val="annotation text"/>
    <w:basedOn w:val="Normal"/>
    <w:link w:val="CommentTextChar"/>
    <w:uiPriority w:val="99"/>
    <w:semiHidden/>
    <w:unhideWhenUsed/>
    <w:rsid w:val="001857AF"/>
    <w:pPr>
      <w:spacing w:line="240" w:lineRule="auto"/>
    </w:pPr>
    <w:rPr>
      <w:szCs w:val="20"/>
    </w:rPr>
  </w:style>
  <w:style w:type="character" w:customStyle="1" w:styleId="CommentTextChar">
    <w:name w:val="Comment Text Char"/>
    <w:basedOn w:val="DefaultParagraphFont"/>
    <w:link w:val="CommentText"/>
    <w:uiPriority w:val="99"/>
    <w:semiHidden/>
    <w:rsid w:val="001857AF"/>
    <w:rPr>
      <w:rFonts w:ascii="Arial" w:eastAsia="Arial" w:hAnsi="Arial"/>
      <w:sz w:val="20"/>
      <w:szCs w:val="20"/>
    </w:rPr>
  </w:style>
  <w:style w:type="paragraph" w:styleId="CommentSubject">
    <w:name w:val="annotation subject"/>
    <w:basedOn w:val="CommentText"/>
    <w:next w:val="CommentText"/>
    <w:link w:val="CommentSubjectChar"/>
    <w:uiPriority w:val="99"/>
    <w:semiHidden/>
    <w:unhideWhenUsed/>
    <w:rsid w:val="001857AF"/>
    <w:rPr>
      <w:b/>
      <w:bCs/>
    </w:rPr>
  </w:style>
  <w:style w:type="character" w:customStyle="1" w:styleId="CommentSubjectChar">
    <w:name w:val="Comment Subject Char"/>
    <w:basedOn w:val="CommentTextChar"/>
    <w:link w:val="CommentSubject"/>
    <w:uiPriority w:val="99"/>
    <w:semiHidden/>
    <w:rsid w:val="001857AF"/>
    <w:rPr>
      <w:rFonts w:ascii="Arial" w:eastAsia="Arial" w:hAnsi="Arial"/>
      <w:b/>
      <w:bCs/>
      <w:sz w:val="20"/>
      <w:szCs w:val="20"/>
    </w:rPr>
  </w:style>
  <w:style w:type="character" w:customStyle="1" w:styleId="text-text-500">
    <w:name w:val="text-text-500"/>
    <w:basedOn w:val="DefaultParagraphFont"/>
    <w:rsid w:val="00E47234"/>
  </w:style>
  <w:style w:type="character" w:customStyle="1" w:styleId="absolute">
    <w:name w:val="absolute"/>
    <w:basedOn w:val="DefaultParagraphFont"/>
    <w:rsid w:val="00E47234"/>
  </w:style>
  <w:style w:type="character" w:customStyle="1" w:styleId="inline-flex">
    <w:name w:val="inline-flex"/>
    <w:basedOn w:val="DefaultParagraphFont"/>
    <w:rsid w:val="00E47234"/>
  </w:style>
  <w:style w:type="character" w:customStyle="1" w:styleId="transition-all">
    <w:name w:val="transition-all"/>
    <w:basedOn w:val="DefaultParagraphFont"/>
    <w:rsid w:val="00E47234"/>
  </w:style>
  <w:style w:type="character" w:customStyle="1" w:styleId="self-center">
    <w:name w:val="self-center"/>
    <w:basedOn w:val="DefaultParagraphFont"/>
    <w:rsid w:val="00E47234"/>
  </w:style>
  <w:style w:type="paragraph" w:customStyle="1" w:styleId="font-claude-response-body">
    <w:name w:val="font-claude-response-body"/>
    <w:basedOn w:val="Normal"/>
    <w:rsid w:val="00E4723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61032"/>
    <w:rPr>
      <w:color w:val="0000FF" w:themeColor="hyperlink"/>
      <w:u w:val="single"/>
    </w:rPr>
  </w:style>
  <w:style w:type="character" w:styleId="UnresolvedMention">
    <w:name w:val="Unresolved Mention"/>
    <w:basedOn w:val="DefaultParagraphFont"/>
    <w:uiPriority w:val="99"/>
    <w:semiHidden/>
    <w:unhideWhenUsed/>
    <w:rsid w:val="00761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0NvFwr-DhsRUJjXoM3sTcUBQuizUNyui/edit?usp=sharing&amp;ouid=115528420372394122860&amp;rtpof=true&amp;sd=tru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google.com/document/d/1IuMuHw9KgrL-U9Wl_xFJ0RfwgzD2eVOS/edit?usp=sharing&amp;ouid=115528420372394122860&amp;rtpof=true&amp;sd=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4252</Words>
  <Characters>24918</Characters>
  <Application>Microsoft Office Word</Application>
  <DocSecurity>0</DocSecurity>
  <Lines>889</Lines>
  <Paragraphs>339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Gambhir</dc:creator>
  <cp:keywords/>
  <dc:description>generated by python-docx</dc:description>
  <cp:lastModifiedBy>Ankita Gambhir</cp:lastModifiedBy>
  <cp:revision>2</cp:revision>
  <dcterms:created xsi:type="dcterms:W3CDTF">2026-06-29T07:28:00Z</dcterms:created>
  <dcterms:modified xsi:type="dcterms:W3CDTF">2026-06-29T07:28:00Z</dcterms:modified>
  <cp:category/>
</cp:coreProperties>
</file>